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6FEC" w14:textId="77777777" w:rsidR="00873335" w:rsidRDefault="00873335">
      <w:pPr>
        <w:widowControl/>
        <w:spacing w:line="600" w:lineRule="exact"/>
        <w:jc w:val="center"/>
        <w:rPr>
          <w:rFonts w:ascii="方正小标宋简体" w:eastAsia="方正小标宋简体" w:hAnsi="方正小标宋简体" w:cs="方正小标宋简体"/>
          <w:color w:val="000000" w:themeColor="text1"/>
          <w:kern w:val="0"/>
          <w:sz w:val="44"/>
          <w:szCs w:val="44"/>
          <w:shd w:val="clear" w:color="auto" w:fill="FFFFFF"/>
          <w:lang w:bidi="ar"/>
        </w:rPr>
      </w:pPr>
    </w:p>
    <w:p w14:paraId="1B2C7CA4" w14:textId="77777777" w:rsidR="00873335" w:rsidRDefault="00873335">
      <w:pPr>
        <w:widowControl/>
        <w:spacing w:line="600" w:lineRule="exact"/>
        <w:jc w:val="center"/>
        <w:rPr>
          <w:rFonts w:ascii="方正小标宋简体" w:eastAsia="方正小标宋简体" w:hAnsi="方正小标宋简体" w:cs="方正小标宋简体"/>
          <w:color w:val="000000" w:themeColor="text1"/>
          <w:kern w:val="0"/>
          <w:sz w:val="44"/>
          <w:szCs w:val="44"/>
          <w:shd w:val="clear" w:color="auto" w:fill="FFFFFF"/>
          <w:lang w:bidi="ar"/>
        </w:rPr>
      </w:pPr>
    </w:p>
    <w:p w14:paraId="14B65322" w14:textId="77777777" w:rsidR="00873335" w:rsidRDefault="00000000">
      <w:pPr>
        <w:widowControl/>
        <w:spacing w:line="600" w:lineRule="exact"/>
        <w:jc w:val="center"/>
        <w:rPr>
          <w:rFonts w:ascii="方正小标宋简体" w:eastAsia="方正小标宋简体" w:hAnsi="方正小标宋简体" w:cs="方正小标宋简体"/>
          <w:color w:val="000000" w:themeColor="text1"/>
          <w:kern w:val="0"/>
          <w:sz w:val="44"/>
          <w:szCs w:val="44"/>
          <w:shd w:val="clear" w:color="auto" w:fill="FFFFFF"/>
          <w:lang w:bidi="ar"/>
        </w:rPr>
      </w:pPr>
      <w:r>
        <w:rPr>
          <w:rFonts w:ascii="方正小标宋简体" w:eastAsia="方正小标宋简体" w:hAnsi="方正小标宋简体" w:cs="方正小标宋简体" w:hint="eastAsia"/>
          <w:color w:val="000000" w:themeColor="text1"/>
          <w:kern w:val="0"/>
          <w:sz w:val="44"/>
          <w:szCs w:val="44"/>
          <w:shd w:val="clear" w:color="auto" w:fill="FFFFFF"/>
          <w:lang w:bidi="ar"/>
        </w:rPr>
        <w:t>广元市红十字会</w:t>
      </w:r>
    </w:p>
    <w:p w14:paraId="319FF1A1" w14:textId="77777777" w:rsidR="00873335" w:rsidRDefault="00873335">
      <w:pPr>
        <w:widowControl/>
        <w:spacing w:line="600" w:lineRule="exact"/>
        <w:jc w:val="center"/>
        <w:rPr>
          <w:rFonts w:ascii="方正小标宋简体" w:eastAsia="方正小标宋简体" w:hAnsi="方正小标宋简体" w:cs="方正小标宋简体"/>
          <w:color w:val="000000" w:themeColor="text1"/>
          <w:kern w:val="0"/>
          <w:sz w:val="44"/>
          <w:szCs w:val="44"/>
          <w:shd w:val="clear" w:color="auto" w:fill="FFFFFF"/>
          <w:lang w:bidi="ar"/>
        </w:rPr>
      </w:pPr>
    </w:p>
    <w:p w14:paraId="600582C1" w14:textId="77777777" w:rsidR="00873335" w:rsidRDefault="00000000">
      <w:pPr>
        <w:widowControl/>
        <w:spacing w:line="600" w:lineRule="exact"/>
        <w:jc w:val="center"/>
        <w:rPr>
          <w:rFonts w:ascii="方正小标宋简体" w:eastAsia="方正小标宋简体" w:hAnsi="方正小标宋简体" w:cs="方正小标宋简体"/>
          <w:color w:val="000000" w:themeColor="text1"/>
          <w:kern w:val="0"/>
          <w:sz w:val="44"/>
          <w:szCs w:val="44"/>
          <w:shd w:val="clear" w:color="auto" w:fill="FFFFFF"/>
          <w:lang w:bidi="ar"/>
        </w:rPr>
      </w:pPr>
      <w:r>
        <w:rPr>
          <w:rFonts w:ascii="方正小标宋简体" w:eastAsia="方正小标宋简体" w:hAnsi="方正小标宋简体" w:cs="方正小标宋简体" w:hint="eastAsia"/>
          <w:color w:val="000000" w:themeColor="text1"/>
          <w:kern w:val="0"/>
          <w:sz w:val="44"/>
          <w:szCs w:val="44"/>
          <w:shd w:val="clear" w:color="auto" w:fill="FFFFFF"/>
          <w:lang w:bidi="ar"/>
        </w:rPr>
        <w:t>2024年部门预算编制说明</w:t>
      </w:r>
    </w:p>
    <w:p w14:paraId="4E761B13" w14:textId="77777777" w:rsidR="00873335" w:rsidRDefault="00873335">
      <w:pPr>
        <w:widowControl/>
        <w:spacing w:line="600" w:lineRule="exact"/>
        <w:jc w:val="center"/>
        <w:rPr>
          <w:rFonts w:ascii="方正小标宋简体" w:eastAsia="方正小标宋简体" w:hAnsi="方正小标宋简体" w:cs="方正小标宋简体"/>
          <w:color w:val="000000" w:themeColor="text1"/>
          <w:kern w:val="0"/>
          <w:sz w:val="44"/>
          <w:szCs w:val="44"/>
          <w:shd w:val="clear" w:color="auto" w:fill="FFFFFF"/>
          <w:lang w:bidi="ar"/>
        </w:rPr>
        <w:sectPr w:rsidR="00873335" w:rsidSect="00E42B8F">
          <w:footerReference w:type="default" r:id="rId8"/>
          <w:pgSz w:w="11906" w:h="16838"/>
          <w:pgMar w:top="2098" w:right="1474" w:bottom="1984" w:left="1587" w:header="720" w:footer="1559" w:gutter="0"/>
          <w:cols w:space="720"/>
          <w:docGrid w:type="lines" w:linePitch="312"/>
        </w:sectPr>
      </w:pPr>
    </w:p>
    <w:sdt>
      <w:sdtPr>
        <w:rPr>
          <w:rFonts w:ascii="宋体" w:hAnsi="宋体"/>
        </w:rPr>
        <w:id w:val="147465231"/>
        <w15:color w:val="DBDBDB"/>
        <w:docPartObj>
          <w:docPartGallery w:val="Table of Contents"/>
          <w:docPartUnique/>
        </w:docPartObj>
      </w:sdtPr>
      <w:sdtEndPr>
        <w:rPr>
          <w:rFonts w:ascii="方正小标宋简体" w:eastAsia="方正小标宋简体" w:hAnsi="方正小标宋简体" w:cs="方正小标宋简体" w:hint="eastAsia"/>
          <w:b/>
          <w:color w:val="000000" w:themeColor="text1"/>
          <w:kern w:val="0"/>
          <w:szCs w:val="44"/>
          <w:shd w:val="clear" w:color="auto" w:fill="FFFFFF"/>
          <w:lang w:bidi="ar"/>
        </w:rPr>
      </w:sdtEndPr>
      <w:sdtContent>
        <w:p w14:paraId="23F99680" w14:textId="77777777" w:rsidR="00873335" w:rsidRDefault="00000000">
          <w:pPr>
            <w:spacing w:line="360" w:lineRule="auto"/>
            <w:jc w:val="center"/>
          </w:pPr>
          <w:r>
            <w:rPr>
              <w:rFonts w:ascii="宋体" w:hAnsi="宋体"/>
            </w:rPr>
            <w:t>目录</w:t>
          </w:r>
        </w:p>
        <w:p w14:paraId="390F63DF" w14:textId="77777777" w:rsidR="00873335" w:rsidRDefault="00000000">
          <w:pPr>
            <w:pStyle w:val="WPSOffice1"/>
            <w:tabs>
              <w:tab w:val="right" w:leader="dot" w:pos="8845"/>
            </w:tabs>
            <w:spacing w:line="360" w:lineRule="auto"/>
            <w:rPr>
              <w:b/>
            </w:rPr>
          </w:pPr>
          <w:r>
            <w:rPr>
              <w:rFonts w:ascii="方正小标宋简体" w:eastAsia="方正小标宋简体" w:hAnsi="方正小标宋简体" w:cs="方正小标宋简体" w:hint="eastAsia"/>
              <w:color w:val="000000" w:themeColor="text1"/>
              <w:sz w:val="44"/>
              <w:szCs w:val="44"/>
              <w:shd w:val="clear" w:color="auto" w:fill="FFFFFF"/>
              <w:lang w:bidi="ar"/>
            </w:rPr>
            <w:fldChar w:fldCharType="begin"/>
          </w:r>
          <w:r>
            <w:rPr>
              <w:rFonts w:ascii="方正小标宋简体" w:eastAsia="方正小标宋简体" w:hAnsi="方正小标宋简体" w:cs="方正小标宋简体" w:hint="eastAsia"/>
              <w:color w:val="000000" w:themeColor="text1"/>
              <w:sz w:val="44"/>
              <w:szCs w:val="44"/>
              <w:shd w:val="clear" w:color="auto" w:fill="FFFFFF"/>
              <w:lang w:bidi="ar"/>
            </w:rPr>
            <w:instrText xml:space="preserve">TOC \o "1-2" \h \u </w:instrText>
          </w:r>
          <w:r>
            <w:rPr>
              <w:rFonts w:ascii="方正小标宋简体" w:eastAsia="方正小标宋简体" w:hAnsi="方正小标宋简体" w:cs="方正小标宋简体" w:hint="eastAsia"/>
              <w:color w:val="000000" w:themeColor="text1"/>
              <w:sz w:val="44"/>
              <w:szCs w:val="44"/>
              <w:shd w:val="clear" w:color="auto" w:fill="FFFFFF"/>
              <w:lang w:bidi="ar"/>
            </w:rPr>
            <w:fldChar w:fldCharType="separate"/>
          </w:r>
          <w:hyperlink w:anchor="_Toc16643" w:history="1">
            <w:r>
              <w:rPr>
                <w:rFonts w:ascii="黑体" w:eastAsia="黑体" w:hAnsi="黑体" w:cs="黑体" w:hint="eastAsia"/>
                <w:b/>
                <w:szCs w:val="32"/>
              </w:rPr>
              <w:t>一、基本职能及主要工作</w:t>
            </w:r>
            <w:r>
              <w:rPr>
                <w:b/>
              </w:rPr>
              <w:tab/>
            </w:r>
            <w:r>
              <w:rPr>
                <w:b/>
              </w:rPr>
              <w:fldChar w:fldCharType="begin"/>
            </w:r>
            <w:r>
              <w:rPr>
                <w:b/>
              </w:rPr>
              <w:instrText xml:space="preserve"> PAGEREF _Toc16643 \h </w:instrText>
            </w:r>
            <w:r>
              <w:rPr>
                <w:b/>
              </w:rPr>
            </w:r>
            <w:r>
              <w:rPr>
                <w:b/>
              </w:rPr>
              <w:fldChar w:fldCharType="separate"/>
            </w:r>
            <w:r>
              <w:rPr>
                <w:b/>
              </w:rPr>
              <w:t>3</w:t>
            </w:r>
            <w:r>
              <w:rPr>
                <w:b/>
              </w:rPr>
              <w:fldChar w:fldCharType="end"/>
            </w:r>
          </w:hyperlink>
        </w:p>
        <w:p w14:paraId="1E7744C5" w14:textId="77777777" w:rsidR="00873335" w:rsidRDefault="00000000">
          <w:pPr>
            <w:pStyle w:val="WPSOffice2"/>
            <w:tabs>
              <w:tab w:val="right" w:leader="dot" w:pos="8845"/>
            </w:tabs>
            <w:spacing w:line="360" w:lineRule="auto"/>
            <w:ind w:left="420"/>
          </w:pPr>
          <w:hyperlink w:anchor="_Toc16907" w:history="1">
            <w:r>
              <w:rPr>
                <w:rFonts w:ascii="楷体_GB2312" w:eastAsia="楷体_GB2312" w:hAnsi="楷体_GB2312" w:cs="楷体_GB2312" w:hint="eastAsia"/>
                <w:szCs w:val="32"/>
              </w:rPr>
              <w:t>（一）广元市红十字会职能简介</w:t>
            </w:r>
            <w:r>
              <w:tab/>
            </w:r>
            <w:r>
              <w:fldChar w:fldCharType="begin"/>
            </w:r>
            <w:r>
              <w:instrText xml:space="preserve"> PAGEREF _Toc16907 \h </w:instrText>
            </w:r>
            <w:r>
              <w:fldChar w:fldCharType="separate"/>
            </w:r>
            <w:r>
              <w:t>3</w:t>
            </w:r>
            <w:r>
              <w:fldChar w:fldCharType="end"/>
            </w:r>
          </w:hyperlink>
        </w:p>
        <w:p w14:paraId="6095FC7A" w14:textId="77777777" w:rsidR="00873335" w:rsidRDefault="00000000">
          <w:pPr>
            <w:pStyle w:val="WPSOffice2"/>
            <w:tabs>
              <w:tab w:val="right" w:leader="dot" w:pos="8845"/>
            </w:tabs>
            <w:spacing w:line="360" w:lineRule="auto"/>
            <w:ind w:left="420"/>
          </w:pPr>
          <w:hyperlink w:anchor="_Toc13833" w:history="1">
            <w:r>
              <w:rPr>
                <w:rFonts w:ascii="楷体_GB2312" w:eastAsia="楷体_GB2312" w:hAnsi="楷体_GB2312" w:cs="楷体_GB2312" w:hint="eastAsia"/>
                <w:szCs w:val="32"/>
              </w:rPr>
              <w:t>（二）广元市红十字会2024年重点工作</w:t>
            </w:r>
            <w:r>
              <w:tab/>
            </w:r>
            <w:r>
              <w:fldChar w:fldCharType="begin"/>
            </w:r>
            <w:r>
              <w:instrText xml:space="preserve"> PAGEREF _Toc13833 \h </w:instrText>
            </w:r>
            <w:r>
              <w:fldChar w:fldCharType="separate"/>
            </w:r>
            <w:r>
              <w:t>3</w:t>
            </w:r>
            <w:r>
              <w:fldChar w:fldCharType="end"/>
            </w:r>
          </w:hyperlink>
        </w:p>
        <w:p w14:paraId="7503B606" w14:textId="77777777" w:rsidR="00873335" w:rsidRDefault="00000000">
          <w:pPr>
            <w:pStyle w:val="WPSOffice1"/>
            <w:tabs>
              <w:tab w:val="right" w:leader="dot" w:pos="8845"/>
            </w:tabs>
            <w:spacing w:line="360" w:lineRule="auto"/>
            <w:rPr>
              <w:b/>
            </w:rPr>
          </w:pPr>
          <w:hyperlink w:anchor="_Toc11644" w:history="1">
            <w:r>
              <w:rPr>
                <w:rFonts w:ascii="黑体" w:eastAsia="黑体" w:hAnsi="黑体" w:cs="黑体" w:hint="eastAsia"/>
                <w:b/>
                <w:szCs w:val="32"/>
              </w:rPr>
              <w:t>二、部门预算单位构成</w:t>
            </w:r>
            <w:r>
              <w:rPr>
                <w:b/>
              </w:rPr>
              <w:tab/>
            </w:r>
            <w:r>
              <w:rPr>
                <w:b/>
              </w:rPr>
              <w:fldChar w:fldCharType="begin"/>
            </w:r>
            <w:r>
              <w:rPr>
                <w:b/>
              </w:rPr>
              <w:instrText xml:space="preserve"> PAGEREF _Toc11644 \h </w:instrText>
            </w:r>
            <w:r>
              <w:rPr>
                <w:b/>
              </w:rPr>
            </w:r>
            <w:r>
              <w:rPr>
                <w:b/>
              </w:rPr>
              <w:fldChar w:fldCharType="separate"/>
            </w:r>
            <w:r>
              <w:rPr>
                <w:b/>
              </w:rPr>
              <w:t>4</w:t>
            </w:r>
            <w:r>
              <w:rPr>
                <w:b/>
              </w:rPr>
              <w:fldChar w:fldCharType="end"/>
            </w:r>
          </w:hyperlink>
        </w:p>
        <w:p w14:paraId="2A6AFEFD" w14:textId="77777777" w:rsidR="00873335" w:rsidRDefault="00000000">
          <w:pPr>
            <w:pStyle w:val="WPSOffice1"/>
            <w:tabs>
              <w:tab w:val="right" w:leader="dot" w:pos="8845"/>
            </w:tabs>
            <w:spacing w:line="360" w:lineRule="auto"/>
            <w:rPr>
              <w:b/>
            </w:rPr>
          </w:pPr>
          <w:hyperlink w:anchor="_Toc25294" w:history="1">
            <w:r>
              <w:rPr>
                <w:rFonts w:ascii="黑体" w:eastAsia="黑体" w:hAnsi="黑体" w:cs="黑体" w:hint="eastAsia"/>
                <w:b/>
                <w:szCs w:val="32"/>
              </w:rPr>
              <w:t>三、收支预算情况说明</w:t>
            </w:r>
            <w:r>
              <w:rPr>
                <w:b/>
              </w:rPr>
              <w:tab/>
            </w:r>
            <w:r>
              <w:rPr>
                <w:b/>
              </w:rPr>
              <w:fldChar w:fldCharType="begin"/>
            </w:r>
            <w:r>
              <w:rPr>
                <w:b/>
              </w:rPr>
              <w:instrText xml:space="preserve"> PAGEREF _Toc25294 \h </w:instrText>
            </w:r>
            <w:r>
              <w:rPr>
                <w:b/>
              </w:rPr>
            </w:r>
            <w:r>
              <w:rPr>
                <w:b/>
              </w:rPr>
              <w:fldChar w:fldCharType="separate"/>
            </w:r>
            <w:r>
              <w:rPr>
                <w:b/>
              </w:rPr>
              <w:t>4</w:t>
            </w:r>
            <w:r>
              <w:rPr>
                <w:b/>
              </w:rPr>
              <w:fldChar w:fldCharType="end"/>
            </w:r>
          </w:hyperlink>
        </w:p>
        <w:p w14:paraId="65C4FEA8" w14:textId="77777777" w:rsidR="00873335" w:rsidRDefault="00000000">
          <w:pPr>
            <w:pStyle w:val="WPSOffice2"/>
            <w:tabs>
              <w:tab w:val="right" w:leader="dot" w:pos="8845"/>
            </w:tabs>
            <w:spacing w:line="360" w:lineRule="auto"/>
            <w:ind w:left="420"/>
          </w:pPr>
          <w:hyperlink w:anchor="_Toc28169" w:history="1">
            <w:r>
              <w:rPr>
                <w:rFonts w:ascii="楷体_GB2312" w:eastAsia="楷体_GB2312" w:hAnsi="楷体_GB2312" w:cs="楷体_GB2312" w:hint="eastAsia"/>
                <w:szCs w:val="32"/>
              </w:rPr>
              <w:t>（一）收入预算情况</w:t>
            </w:r>
            <w:r>
              <w:tab/>
            </w:r>
            <w:r>
              <w:fldChar w:fldCharType="begin"/>
            </w:r>
            <w:r>
              <w:instrText xml:space="preserve"> PAGEREF _Toc28169 \h </w:instrText>
            </w:r>
            <w:r>
              <w:fldChar w:fldCharType="separate"/>
            </w:r>
            <w:r>
              <w:t>5</w:t>
            </w:r>
            <w:r>
              <w:fldChar w:fldCharType="end"/>
            </w:r>
          </w:hyperlink>
        </w:p>
        <w:p w14:paraId="516A6F90" w14:textId="77777777" w:rsidR="00873335" w:rsidRDefault="00000000">
          <w:pPr>
            <w:pStyle w:val="WPSOffice2"/>
            <w:tabs>
              <w:tab w:val="right" w:leader="dot" w:pos="8845"/>
            </w:tabs>
            <w:spacing w:line="360" w:lineRule="auto"/>
            <w:ind w:left="420"/>
          </w:pPr>
          <w:hyperlink w:anchor="_Toc4145" w:history="1">
            <w:r>
              <w:rPr>
                <w:rFonts w:ascii="楷体_GB2312" w:eastAsia="楷体_GB2312" w:hAnsi="楷体_GB2312" w:cs="楷体_GB2312" w:hint="eastAsia"/>
                <w:szCs w:val="32"/>
              </w:rPr>
              <w:t>（二）支出预算情况</w:t>
            </w:r>
            <w:r>
              <w:tab/>
            </w:r>
            <w:r>
              <w:fldChar w:fldCharType="begin"/>
            </w:r>
            <w:r>
              <w:instrText xml:space="preserve"> PAGEREF _Toc4145 \h </w:instrText>
            </w:r>
            <w:r>
              <w:fldChar w:fldCharType="separate"/>
            </w:r>
            <w:r>
              <w:t>5</w:t>
            </w:r>
            <w:r>
              <w:fldChar w:fldCharType="end"/>
            </w:r>
          </w:hyperlink>
        </w:p>
        <w:p w14:paraId="7B46BCCD" w14:textId="77777777" w:rsidR="00873335" w:rsidRDefault="00000000">
          <w:pPr>
            <w:pStyle w:val="WPSOffice1"/>
            <w:tabs>
              <w:tab w:val="right" w:leader="dot" w:pos="8845"/>
            </w:tabs>
            <w:spacing w:line="360" w:lineRule="auto"/>
            <w:rPr>
              <w:b/>
            </w:rPr>
          </w:pPr>
          <w:hyperlink w:anchor="_Toc19937" w:history="1">
            <w:r>
              <w:rPr>
                <w:rFonts w:ascii="黑体" w:eastAsia="黑体" w:hAnsi="黑体" w:cs="黑体" w:hint="eastAsia"/>
                <w:b/>
                <w:szCs w:val="32"/>
              </w:rPr>
              <w:t>四、财政拨款收支预算情况说明</w:t>
            </w:r>
            <w:r>
              <w:rPr>
                <w:b/>
              </w:rPr>
              <w:tab/>
            </w:r>
            <w:r>
              <w:rPr>
                <w:b/>
              </w:rPr>
              <w:fldChar w:fldCharType="begin"/>
            </w:r>
            <w:r>
              <w:rPr>
                <w:b/>
              </w:rPr>
              <w:instrText xml:space="preserve"> PAGEREF _Toc19937 \h </w:instrText>
            </w:r>
            <w:r>
              <w:rPr>
                <w:b/>
              </w:rPr>
            </w:r>
            <w:r>
              <w:rPr>
                <w:b/>
              </w:rPr>
              <w:fldChar w:fldCharType="separate"/>
            </w:r>
            <w:r>
              <w:rPr>
                <w:b/>
              </w:rPr>
              <w:t>5</w:t>
            </w:r>
            <w:r>
              <w:rPr>
                <w:b/>
              </w:rPr>
              <w:fldChar w:fldCharType="end"/>
            </w:r>
          </w:hyperlink>
        </w:p>
        <w:p w14:paraId="63C60E57" w14:textId="77777777" w:rsidR="00873335" w:rsidRDefault="00000000">
          <w:pPr>
            <w:pStyle w:val="WPSOffice1"/>
            <w:tabs>
              <w:tab w:val="right" w:leader="dot" w:pos="8845"/>
            </w:tabs>
            <w:spacing w:line="360" w:lineRule="auto"/>
            <w:rPr>
              <w:b/>
            </w:rPr>
          </w:pPr>
          <w:hyperlink w:anchor="_Toc6472" w:history="1">
            <w:r>
              <w:rPr>
                <w:rFonts w:ascii="黑体" w:eastAsia="黑体" w:hAnsi="黑体" w:cs="黑体" w:hint="eastAsia"/>
                <w:b/>
                <w:szCs w:val="32"/>
              </w:rPr>
              <w:t>五、一般公共预算当年拨款情况说明</w:t>
            </w:r>
            <w:r>
              <w:rPr>
                <w:b/>
              </w:rPr>
              <w:tab/>
            </w:r>
            <w:r>
              <w:rPr>
                <w:b/>
              </w:rPr>
              <w:fldChar w:fldCharType="begin"/>
            </w:r>
            <w:r>
              <w:rPr>
                <w:b/>
              </w:rPr>
              <w:instrText xml:space="preserve"> PAGEREF _Toc6472 \h </w:instrText>
            </w:r>
            <w:r>
              <w:rPr>
                <w:b/>
              </w:rPr>
            </w:r>
            <w:r>
              <w:rPr>
                <w:b/>
              </w:rPr>
              <w:fldChar w:fldCharType="separate"/>
            </w:r>
            <w:r>
              <w:rPr>
                <w:b/>
              </w:rPr>
              <w:t>5</w:t>
            </w:r>
            <w:r>
              <w:rPr>
                <w:b/>
              </w:rPr>
              <w:fldChar w:fldCharType="end"/>
            </w:r>
          </w:hyperlink>
        </w:p>
        <w:p w14:paraId="402101D6" w14:textId="77777777" w:rsidR="00873335" w:rsidRDefault="00000000">
          <w:pPr>
            <w:pStyle w:val="WPSOffice2"/>
            <w:tabs>
              <w:tab w:val="right" w:leader="dot" w:pos="8845"/>
            </w:tabs>
            <w:spacing w:line="360" w:lineRule="auto"/>
            <w:ind w:left="420"/>
          </w:pPr>
          <w:hyperlink w:anchor="_Toc5847" w:history="1">
            <w:r>
              <w:rPr>
                <w:rFonts w:ascii="楷体_GB2312" w:eastAsia="楷体_GB2312" w:hAnsi="楷体_GB2312" w:cs="楷体_GB2312" w:hint="eastAsia"/>
                <w:szCs w:val="32"/>
              </w:rPr>
              <w:t>（一）一般公共预算当年拨款规模变化情况</w:t>
            </w:r>
            <w:r>
              <w:tab/>
            </w:r>
            <w:r>
              <w:fldChar w:fldCharType="begin"/>
            </w:r>
            <w:r>
              <w:instrText xml:space="preserve"> PAGEREF _Toc5847 \h </w:instrText>
            </w:r>
            <w:r>
              <w:fldChar w:fldCharType="separate"/>
            </w:r>
            <w:r>
              <w:t>5</w:t>
            </w:r>
            <w:r>
              <w:fldChar w:fldCharType="end"/>
            </w:r>
          </w:hyperlink>
        </w:p>
        <w:p w14:paraId="4D504D9A" w14:textId="77777777" w:rsidR="00873335" w:rsidRDefault="00000000">
          <w:pPr>
            <w:pStyle w:val="WPSOffice2"/>
            <w:tabs>
              <w:tab w:val="right" w:leader="dot" w:pos="8845"/>
            </w:tabs>
            <w:spacing w:line="360" w:lineRule="auto"/>
            <w:ind w:left="420"/>
          </w:pPr>
          <w:hyperlink w:anchor="_Toc30546" w:history="1">
            <w:r>
              <w:rPr>
                <w:rFonts w:ascii="楷体_GB2312" w:eastAsia="楷体_GB2312" w:hAnsi="楷体_GB2312" w:cs="楷体_GB2312" w:hint="eastAsia"/>
                <w:szCs w:val="32"/>
              </w:rPr>
              <w:t>（二）一般公共预算当年拨款结构情况</w:t>
            </w:r>
            <w:r>
              <w:tab/>
            </w:r>
            <w:r>
              <w:fldChar w:fldCharType="begin"/>
            </w:r>
            <w:r>
              <w:instrText xml:space="preserve"> PAGEREF _Toc30546 \h </w:instrText>
            </w:r>
            <w:r>
              <w:fldChar w:fldCharType="separate"/>
            </w:r>
            <w:r>
              <w:t>5</w:t>
            </w:r>
            <w:r>
              <w:fldChar w:fldCharType="end"/>
            </w:r>
          </w:hyperlink>
        </w:p>
        <w:p w14:paraId="1CBDE523" w14:textId="77777777" w:rsidR="00873335" w:rsidRDefault="00000000">
          <w:pPr>
            <w:pStyle w:val="WPSOffice2"/>
            <w:tabs>
              <w:tab w:val="right" w:leader="dot" w:pos="8845"/>
            </w:tabs>
            <w:spacing w:line="360" w:lineRule="auto"/>
            <w:ind w:left="420"/>
          </w:pPr>
          <w:hyperlink w:anchor="_Toc8479" w:history="1">
            <w:r>
              <w:rPr>
                <w:rFonts w:ascii="楷体_GB2312" w:eastAsia="楷体_GB2312" w:hAnsi="楷体_GB2312" w:cs="楷体_GB2312" w:hint="eastAsia"/>
                <w:szCs w:val="32"/>
              </w:rPr>
              <w:t>（三）一般公共预算当年拨款具体使用情况</w:t>
            </w:r>
            <w:r>
              <w:tab/>
            </w:r>
            <w:r>
              <w:fldChar w:fldCharType="begin"/>
            </w:r>
            <w:r>
              <w:instrText xml:space="preserve"> PAGEREF _Toc8479 \h </w:instrText>
            </w:r>
            <w:r>
              <w:fldChar w:fldCharType="separate"/>
            </w:r>
            <w:r>
              <w:t>6</w:t>
            </w:r>
            <w:r>
              <w:fldChar w:fldCharType="end"/>
            </w:r>
          </w:hyperlink>
        </w:p>
        <w:p w14:paraId="3C0C4189" w14:textId="77777777" w:rsidR="00873335" w:rsidRDefault="00000000">
          <w:pPr>
            <w:pStyle w:val="WPSOffice1"/>
            <w:tabs>
              <w:tab w:val="right" w:leader="dot" w:pos="8845"/>
            </w:tabs>
            <w:spacing w:line="360" w:lineRule="auto"/>
            <w:rPr>
              <w:b/>
            </w:rPr>
          </w:pPr>
          <w:hyperlink w:anchor="_Toc32236" w:history="1">
            <w:r>
              <w:rPr>
                <w:rFonts w:ascii="黑体" w:eastAsia="黑体" w:hAnsi="黑体" w:cs="黑体" w:hint="eastAsia"/>
                <w:b/>
                <w:szCs w:val="32"/>
              </w:rPr>
              <w:t>六、一般公共预算基本支出情况说明</w:t>
            </w:r>
            <w:r>
              <w:rPr>
                <w:b/>
              </w:rPr>
              <w:tab/>
            </w:r>
            <w:r>
              <w:rPr>
                <w:b/>
              </w:rPr>
              <w:fldChar w:fldCharType="begin"/>
            </w:r>
            <w:r>
              <w:rPr>
                <w:b/>
              </w:rPr>
              <w:instrText xml:space="preserve"> PAGEREF _Toc32236 \h </w:instrText>
            </w:r>
            <w:r>
              <w:rPr>
                <w:b/>
              </w:rPr>
            </w:r>
            <w:r>
              <w:rPr>
                <w:b/>
              </w:rPr>
              <w:fldChar w:fldCharType="separate"/>
            </w:r>
            <w:r>
              <w:rPr>
                <w:b/>
              </w:rPr>
              <w:t>6</w:t>
            </w:r>
            <w:r>
              <w:rPr>
                <w:b/>
              </w:rPr>
              <w:fldChar w:fldCharType="end"/>
            </w:r>
          </w:hyperlink>
        </w:p>
        <w:p w14:paraId="3D3B0C19" w14:textId="77777777" w:rsidR="00873335" w:rsidRDefault="00000000">
          <w:pPr>
            <w:pStyle w:val="WPSOffice1"/>
            <w:tabs>
              <w:tab w:val="right" w:leader="dot" w:pos="8845"/>
            </w:tabs>
            <w:spacing w:line="360" w:lineRule="auto"/>
            <w:rPr>
              <w:b/>
            </w:rPr>
          </w:pPr>
          <w:hyperlink w:anchor="_Toc25878" w:history="1">
            <w:r>
              <w:rPr>
                <w:rFonts w:ascii="黑体" w:eastAsia="黑体" w:hAnsi="黑体" w:cs="黑体" w:hint="eastAsia"/>
                <w:b/>
                <w:szCs w:val="32"/>
              </w:rPr>
              <w:t>七、“三公”经费财政拨款预算安排情况说明</w:t>
            </w:r>
            <w:r>
              <w:rPr>
                <w:b/>
              </w:rPr>
              <w:tab/>
            </w:r>
            <w:r>
              <w:rPr>
                <w:b/>
              </w:rPr>
              <w:fldChar w:fldCharType="begin"/>
            </w:r>
            <w:r>
              <w:rPr>
                <w:b/>
              </w:rPr>
              <w:instrText xml:space="preserve"> PAGEREF _Toc25878 \h </w:instrText>
            </w:r>
            <w:r>
              <w:rPr>
                <w:b/>
              </w:rPr>
            </w:r>
            <w:r>
              <w:rPr>
                <w:b/>
              </w:rPr>
              <w:fldChar w:fldCharType="separate"/>
            </w:r>
            <w:r>
              <w:rPr>
                <w:b/>
              </w:rPr>
              <w:t>7</w:t>
            </w:r>
            <w:r>
              <w:rPr>
                <w:b/>
              </w:rPr>
              <w:fldChar w:fldCharType="end"/>
            </w:r>
          </w:hyperlink>
        </w:p>
        <w:p w14:paraId="1D4BE111" w14:textId="77777777" w:rsidR="00873335" w:rsidRDefault="00000000">
          <w:pPr>
            <w:pStyle w:val="WPSOffice2"/>
            <w:tabs>
              <w:tab w:val="right" w:leader="dot" w:pos="8845"/>
            </w:tabs>
            <w:spacing w:line="360" w:lineRule="auto"/>
            <w:ind w:left="420"/>
          </w:pPr>
          <w:hyperlink w:anchor="_Toc21079" w:history="1">
            <w:r>
              <w:rPr>
                <w:rFonts w:ascii="楷体_GB2312" w:eastAsia="楷体_GB2312" w:hAnsi="楷体_GB2312" w:cs="楷体_GB2312" w:hint="eastAsia"/>
                <w:szCs w:val="32"/>
              </w:rPr>
              <w:t>（一）公务接待费</w:t>
            </w:r>
            <w:r>
              <w:tab/>
            </w:r>
            <w:r>
              <w:fldChar w:fldCharType="begin"/>
            </w:r>
            <w:r>
              <w:instrText xml:space="preserve"> PAGEREF _Toc21079 \h </w:instrText>
            </w:r>
            <w:r>
              <w:fldChar w:fldCharType="separate"/>
            </w:r>
            <w:r>
              <w:t>7</w:t>
            </w:r>
            <w:r>
              <w:fldChar w:fldCharType="end"/>
            </w:r>
          </w:hyperlink>
        </w:p>
        <w:p w14:paraId="030615AE" w14:textId="77777777" w:rsidR="00873335" w:rsidRDefault="00000000">
          <w:pPr>
            <w:pStyle w:val="WPSOffice2"/>
            <w:tabs>
              <w:tab w:val="right" w:leader="dot" w:pos="8845"/>
            </w:tabs>
            <w:spacing w:line="360" w:lineRule="auto"/>
            <w:ind w:left="420"/>
          </w:pPr>
          <w:hyperlink w:anchor="_Toc4103" w:history="1">
            <w:r>
              <w:rPr>
                <w:rFonts w:ascii="楷体_GB2312" w:eastAsia="楷体_GB2312" w:hAnsi="楷体_GB2312" w:cs="楷体_GB2312" w:hint="eastAsia"/>
                <w:szCs w:val="32"/>
              </w:rPr>
              <w:t>（二）公务用车购置及运行维护费</w:t>
            </w:r>
            <w:r>
              <w:tab/>
            </w:r>
            <w:r>
              <w:fldChar w:fldCharType="begin"/>
            </w:r>
            <w:r>
              <w:instrText xml:space="preserve"> PAGEREF _Toc4103 \h </w:instrText>
            </w:r>
            <w:r>
              <w:fldChar w:fldCharType="separate"/>
            </w:r>
            <w:r>
              <w:t>7</w:t>
            </w:r>
            <w:r>
              <w:fldChar w:fldCharType="end"/>
            </w:r>
          </w:hyperlink>
        </w:p>
        <w:p w14:paraId="1B7A7926" w14:textId="77777777" w:rsidR="00873335" w:rsidRDefault="00000000">
          <w:pPr>
            <w:pStyle w:val="WPSOffice2"/>
            <w:tabs>
              <w:tab w:val="right" w:leader="dot" w:pos="8845"/>
            </w:tabs>
            <w:spacing w:line="360" w:lineRule="auto"/>
            <w:ind w:left="420"/>
          </w:pPr>
          <w:hyperlink w:anchor="_Toc15764" w:history="1">
            <w:r>
              <w:rPr>
                <w:rFonts w:ascii="仿宋_GB2312" w:eastAsia="仿宋_GB2312" w:hAnsi="仿宋_GB2312" w:cs="仿宋_GB2312" w:hint="eastAsia"/>
                <w:szCs w:val="32"/>
              </w:rPr>
              <w:t>（</w:t>
            </w:r>
            <w:r>
              <w:rPr>
                <w:rFonts w:ascii="楷体_GB2312" w:eastAsia="楷体_GB2312" w:hAnsi="楷体_GB2312" w:cs="楷体_GB2312" w:hint="eastAsia"/>
                <w:szCs w:val="32"/>
              </w:rPr>
              <w:t>三）因公出国（境）经费</w:t>
            </w:r>
            <w:r>
              <w:tab/>
            </w:r>
            <w:r>
              <w:fldChar w:fldCharType="begin"/>
            </w:r>
            <w:r>
              <w:instrText xml:space="preserve"> PAGEREF _Toc15764 \h </w:instrText>
            </w:r>
            <w:r>
              <w:fldChar w:fldCharType="separate"/>
            </w:r>
            <w:r>
              <w:t>7</w:t>
            </w:r>
            <w:r>
              <w:fldChar w:fldCharType="end"/>
            </w:r>
          </w:hyperlink>
        </w:p>
        <w:p w14:paraId="44865E7B" w14:textId="77777777" w:rsidR="00873335" w:rsidRDefault="00000000">
          <w:pPr>
            <w:pStyle w:val="WPSOffice1"/>
            <w:tabs>
              <w:tab w:val="right" w:leader="dot" w:pos="8845"/>
            </w:tabs>
            <w:spacing w:line="360" w:lineRule="auto"/>
            <w:rPr>
              <w:b/>
            </w:rPr>
          </w:pPr>
          <w:hyperlink w:anchor="_Toc23622" w:history="1">
            <w:r>
              <w:rPr>
                <w:rFonts w:ascii="黑体" w:eastAsia="黑体" w:hAnsi="黑体" w:cs="黑体" w:hint="eastAsia"/>
                <w:b/>
                <w:szCs w:val="32"/>
              </w:rPr>
              <w:t>八、政府性基金预算支出情况说明</w:t>
            </w:r>
            <w:r>
              <w:rPr>
                <w:b/>
              </w:rPr>
              <w:tab/>
            </w:r>
            <w:r>
              <w:rPr>
                <w:b/>
              </w:rPr>
              <w:fldChar w:fldCharType="begin"/>
            </w:r>
            <w:r>
              <w:rPr>
                <w:b/>
              </w:rPr>
              <w:instrText xml:space="preserve"> PAGEREF _Toc23622 \h </w:instrText>
            </w:r>
            <w:r>
              <w:rPr>
                <w:b/>
              </w:rPr>
            </w:r>
            <w:r>
              <w:rPr>
                <w:b/>
              </w:rPr>
              <w:fldChar w:fldCharType="separate"/>
            </w:r>
            <w:r>
              <w:rPr>
                <w:b/>
              </w:rPr>
              <w:t>7</w:t>
            </w:r>
            <w:r>
              <w:rPr>
                <w:b/>
              </w:rPr>
              <w:fldChar w:fldCharType="end"/>
            </w:r>
          </w:hyperlink>
        </w:p>
        <w:p w14:paraId="71E35D96" w14:textId="77777777" w:rsidR="00873335" w:rsidRDefault="00000000">
          <w:pPr>
            <w:pStyle w:val="WPSOffice1"/>
            <w:tabs>
              <w:tab w:val="right" w:leader="dot" w:pos="8845"/>
            </w:tabs>
            <w:spacing w:line="360" w:lineRule="auto"/>
            <w:rPr>
              <w:b/>
            </w:rPr>
          </w:pPr>
          <w:hyperlink w:anchor="_Toc14485" w:history="1">
            <w:r>
              <w:rPr>
                <w:rFonts w:ascii="黑体" w:eastAsia="黑体" w:hAnsi="黑体" w:cs="黑体" w:hint="eastAsia"/>
                <w:b/>
                <w:szCs w:val="32"/>
              </w:rPr>
              <w:t>九、国有资本经营预算支出情况说明</w:t>
            </w:r>
            <w:r>
              <w:rPr>
                <w:b/>
              </w:rPr>
              <w:tab/>
            </w:r>
            <w:r>
              <w:rPr>
                <w:b/>
              </w:rPr>
              <w:fldChar w:fldCharType="begin"/>
            </w:r>
            <w:r>
              <w:rPr>
                <w:b/>
              </w:rPr>
              <w:instrText xml:space="preserve"> PAGEREF _Toc14485 \h </w:instrText>
            </w:r>
            <w:r>
              <w:rPr>
                <w:b/>
              </w:rPr>
            </w:r>
            <w:r>
              <w:rPr>
                <w:b/>
              </w:rPr>
              <w:fldChar w:fldCharType="separate"/>
            </w:r>
            <w:r>
              <w:rPr>
                <w:b/>
              </w:rPr>
              <w:t>8</w:t>
            </w:r>
            <w:r>
              <w:rPr>
                <w:b/>
              </w:rPr>
              <w:fldChar w:fldCharType="end"/>
            </w:r>
          </w:hyperlink>
        </w:p>
        <w:p w14:paraId="3A8A3994" w14:textId="77777777" w:rsidR="00873335" w:rsidRDefault="00000000">
          <w:pPr>
            <w:pStyle w:val="WPSOffice1"/>
            <w:tabs>
              <w:tab w:val="right" w:leader="dot" w:pos="8845"/>
            </w:tabs>
            <w:spacing w:line="360" w:lineRule="auto"/>
            <w:rPr>
              <w:b/>
            </w:rPr>
          </w:pPr>
          <w:hyperlink w:anchor="_Toc12071" w:history="1">
            <w:r>
              <w:rPr>
                <w:rFonts w:ascii="黑体" w:eastAsia="黑体" w:hAnsi="黑体" w:cs="黑体" w:hint="eastAsia"/>
                <w:b/>
                <w:szCs w:val="32"/>
              </w:rPr>
              <w:t>十、其他重要事项的情况说明</w:t>
            </w:r>
            <w:r>
              <w:rPr>
                <w:b/>
              </w:rPr>
              <w:tab/>
            </w:r>
            <w:r>
              <w:rPr>
                <w:b/>
              </w:rPr>
              <w:fldChar w:fldCharType="begin"/>
            </w:r>
            <w:r>
              <w:rPr>
                <w:b/>
              </w:rPr>
              <w:instrText xml:space="preserve"> PAGEREF _Toc12071 \h </w:instrText>
            </w:r>
            <w:r>
              <w:rPr>
                <w:b/>
              </w:rPr>
            </w:r>
            <w:r>
              <w:rPr>
                <w:b/>
              </w:rPr>
              <w:fldChar w:fldCharType="separate"/>
            </w:r>
            <w:r>
              <w:rPr>
                <w:b/>
              </w:rPr>
              <w:t>8</w:t>
            </w:r>
            <w:r>
              <w:rPr>
                <w:b/>
              </w:rPr>
              <w:fldChar w:fldCharType="end"/>
            </w:r>
          </w:hyperlink>
        </w:p>
        <w:p w14:paraId="63CFC6CB" w14:textId="77777777" w:rsidR="00873335" w:rsidRDefault="00000000">
          <w:pPr>
            <w:pStyle w:val="WPSOffice2"/>
            <w:tabs>
              <w:tab w:val="right" w:leader="dot" w:pos="8845"/>
            </w:tabs>
            <w:spacing w:line="360" w:lineRule="auto"/>
            <w:ind w:left="420"/>
          </w:pPr>
          <w:hyperlink w:anchor="_Toc19168" w:history="1">
            <w:r>
              <w:rPr>
                <w:rFonts w:ascii="楷体_GB2312" w:eastAsia="楷体_GB2312" w:hAnsi="楷体_GB2312" w:cs="楷体_GB2312" w:hint="eastAsia"/>
                <w:szCs w:val="32"/>
              </w:rPr>
              <w:t>（一）机关运行经费</w:t>
            </w:r>
            <w:r>
              <w:tab/>
            </w:r>
            <w:r>
              <w:fldChar w:fldCharType="begin"/>
            </w:r>
            <w:r>
              <w:instrText xml:space="preserve"> PAGEREF _Toc19168 \h </w:instrText>
            </w:r>
            <w:r>
              <w:fldChar w:fldCharType="separate"/>
            </w:r>
            <w:r>
              <w:t>8</w:t>
            </w:r>
            <w:r>
              <w:fldChar w:fldCharType="end"/>
            </w:r>
          </w:hyperlink>
        </w:p>
        <w:p w14:paraId="350A4665" w14:textId="77777777" w:rsidR="00873335" w:rsidRDefault="00000000">
          <w:pPr>
            <w:pStyle w:val="WPSOffice2"/>
            <w:tabs>
              <w:tab w:val="right" w:leader="dot" w:pos="8845"/>
            </w:tabs>
            <w:spacing w:line="360" w:lineRule="auto"/>
            <w:ind w:left="420"/>
          </w:pPr>
          <w:hyperlink w:anchor="_Toc21396" w:history="1">
            <w:r>
              <w:rPr>
                <w:rFonts w:ascii="楷体_GB2312" w:eastAsia="楷体_GB2312" w:hAnsi="楷体_GB2312" w:cs="楷体_GB2312" w:hint="eastAsia"/>
                <w:szCs w:val="32"/>
              </w:rPr>
              <w:t>（二）政府采购情况</w:t>
            </w:r>
            <w:r>
              <w:tab/>
            </w:r>
            <w:r>
              <w:fldChar w:fldCharType="begin"/>
            </w:r>
            <w:r>
              <w:instrText xml:space="preserve"> PAGEREF _Toc21396 \h </w:instrText>
            </w:r>
            <w:r>
              <w:fldChar w:fldCharType="separate"/>
            </w:r>
            <w:r>
              <w:t>8</w:t>
            </w:r>
            <w:r>
              <w:fldChar w:fldCharType="end"/>
            </w:r>
          </w:hyperlink>
        </w:p>
        <w:p w14:paraId="663B52B4" w14:textId="77777777" w:rsidR="00873335" w:rsidRDefault="00000000">
          <w:pPr>
            <w:pStyle w:val="WPSOffice2"/>
            <w:tabs>
              <w:tab w:val="right" w:leader="dot" w:pos="8845"/>
            </w:tabs>
            <w:spacing w:line="360" w:lineRule="auto"/>
            <w:ind w:left="420"/>
          </w:pPr>
          <w:hyperlink w:anchor="_Toc22353" w:history="1">
            <w:r>
              <w:rPr>
                <w:rFonts w:ascii="楷体_GB2312" w:eastAsia="楷体_GB2312" w:hAnsi="楷体_GB2312" w:cs="楷体_GB2312" w:hint="eastAsia"/>
                <w:szCs w:val="32"/>
              </w:rPr>
              <w:t>（三）国有资产占有使用情况</w:t>
            </w:r>
            <w:r>
              <w:tab/>
            </w:r>
            <w:r>
              <w:fldChar w:fldCharType="begin"/>
            </w:r>
            <w:r>
              <w:instrText xml:space="preserve"> PAGEREF _Toc22353 \h </w:instrText>
            </w:r>
            <w:r>
              <w:fldChar w:fldCharType="separate"/>
            </w:r>
            <w:r>
              <w:t>8</w:t>
            </w:r>
            <w:r>
              <w:fldChar w:fldCharType="end"/>
            </w:r>
          </w:hyperlink>
        </w:p>
        <w:p w14:paraId="0CE09E35" w14:textId="77777777" w:rsidR="00873335" w:rsidRDefault="00000000">
          <w:pPr>
            <w:pStyle w:val="WPSOffice2"/>
            <w:tabs>
              <w:tab w:val="right" w:leader="dot" w:pos="8845"/>
            </w:tabs>
            <w:spacing w:line="360" w:lineRule="auto"/>
            <w:ind w:left="420"/>
          </w:pPr>
          <w:hyperlink w:anchor="_Toc7748" w:history="1">
            <w:r>
              <w:rPr>
                <w:rFonts w:ascii="楷体_GB2312" w:eastAsia="楷体_GB2312" w:hAnsi="楷体_GB2312" w:cs="楷体_GB2312" w:hint="eastAsia"/>
                <w:szCs w:val="32"/>
              </w:rPr>
              <w:t>（四）绩效目标设置情况</w:t>
            </w:r>
            <w:r>
              <w:tab/>
            </w:r>
            <w:r>
              <w:fldChar w:fldCharType="begin"/>
            </w:r>
            <w:r>
              <w:instrText xml:space="preserve"> PAGEREF _Toc7748 \h </w:instrText>
            </w:r>
            <w:r>
              <w:fldChar w:fldCharType="separate"/>
            </w:r>
            <w:r>
              <w:t>8</w:t>
            </w:r>
            <w:r>
              <w:fldChar w:fldCharType="end"/>
            </w:r>
          </w:hyperlink>
        </w:p>
        <w:p w14:paraId="2022106D" w14:textId="4038928F" w:rsidR="00873335" w:rsidRDefault="00000000">
          <w:pPr>
            <w:pStyle w:val="WPSOffice1"/>
            <w:tabs>
              <w:tab w:val="right" w:leader="dot" w:pos="8845"/>
            </w:tabs>
            <w:spacing w:line="360" w:lineRule="auto"/>
            <w:rPr>
              <w:rFonts w:ascii="方正小标宋简体" w:eastAsia="方正小标宋简体" w:hAnsi="方正小标宋简体" w:cs="方正小标宋简体"/>
              <w:b/>
              <w:color w:val="000000" w:themeColor="text1"/>
              <w:szCs w:val="44"/>
              <w:shd w:val="clear" w:color="auto" w:fill="FFFFFF"/>
              <w:lang w:bidi="ar"/>
            </w:rPr>
            <w:sectPr w:rsidR="00873335" w:rsidSect="00E42B8F">
              <w:pgSz w:w="11906" w:h="16838"/>
              <w:pgMar w:top="2098" w:right="1474" w:bottom="1984" w:left="1587" w:header="720" w:footer="1559" w:gutter="0"/>
              <w:cols w:space="720"/>
              <w:docGrid w:type="lines" w:linePitch="312"/>
            </w:sectPr>
          </w:pPr>
          <w:hyperlink w:anchor="_Toc4059" w:history="1">
            <w:r>
              <w:rPr>
                <w:rFonts w:ascii="黑体" w:eastAsia="黑体" w:hAnsi="黑体" w:cs="黑体" w:hint="eastAsia"/>
                <w:b/>
                <w:szCs w:val="32"/>
              </w:rPr>
              <w:t>十一、名词解释</w:t>
            </w:r>
            <w:r>
              <w:rPr>
                <w:b/>
              </w:rPr>
              <w:tab/>
            </w:r>
            <w:r w:rsidR="00DD19D7">
              <w:rPr>
                <w:b/>
              </w:rPr>
              <w:t>9</w:t>
            </w:r>
          </w:hyperlink>
        </w:p>
        <w:p w14:paraId="17E77864" w14:textId="77777777" w:rsidR="00873335" w:rsidRDefault="00000000">
          <w:pPr>
            <w:widowControl/>
            <w:spacing w:line="360" w:lineRule="auto"/>
            <w:rPr>
              <w:rFonts w:ascii="方正小标宋简体" w:eastAsia="方正小标宋简体" w:hAnsi="方正小标宋简体" w:cs="方正小标宋简体"/>
              <w:color w:val="000000" w:themeColor="text1"/>
              <w:kern w:val="0"/>
              <w:sz w:val="44"/>
              <w:szCs w:val="44"/>
              <w:shd w:val="clear" w:color="auto" w:fill="FFFFFF"/>
              <w:lang w:bidi="ar"/>
            </w:rPr>
          </w:pPr>
          <w:r>
            <w:rPr>
              <w:rFonts w:ascii="方正小标宋简体" w:eastAsia="方正小标宋简体" w:hAnsi="方正小标宋简体" w:cs="方正小标宋简体" w:hint="eastAsia"/>
              <w:b/>
              <w:color w:val="000000" w:themeColor="text1"/>
              <w:kern w:val="0"/>
              <w:szCs w:val="44"/>
              <w:shd w:val="clear" w:color="auto" w:fill="FFFFFF"/>
              <w:lang w:bidi="ar"/>
            </w:rPr>
            <w:lastRenderedPageBreak/>
            <w:fldChar w:fldCharType="end"/>
          </w:r>
        </w:p>
      </w:sdtContent>
    </w:sdt>
    <w:p w14:paraId="260258AA" w14:textId="77777777" w:rsidR="00873335" w:rsidRDefault="00000000">
      <w:pPr>
        <w:spacing w:line="576" w:lineRule="exact"/>
        <w:ind w:firstLineChars="200" w:firstLine="640"/>
        <w:outlineLvl w:val="0"/>
        <w:rPr>
          <w:rFonts w:ascii="黑体" w:eastAsia="黑体" w:hAnsi="黑体" w:cs="黑体"/>
          <w:sz w:val="32"/>
          <w:szCs w:val="32"/>
        </w:rPr>
      </w:pPr>
      <w:bookmarkStart w:id="0" w:name="_Toc16643"/>
      <w:r>
        <w:rPr>
          <w:rFonts w:ascii="黑体" w:eastAsia="黑体" w:hAnsi="黑体" w:cs="黑体" w:hint="eastAsia"/>
          <w:sz w:val="32"/>
          <w:szCs w:val="32"/>
        </w:rPr>
        <w:t>一、基本职能及主要工作</w:t>
      </w:r>
      <w:bookmarkEnd w:id="0"/>
    </w:p>
    <w:p w14:paraId="43103E69"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1" w:name="_Toc16907"/>
      <w:r>
        <w:rPr>
          <w:rFonts w:ascii="楷体_GB2312" w:eastAsia="楷体_GB2312" w:hAnsi="楷体_GB2312" w:cs="楷体_GB2312" w:hint="eastAsia"/>
          <w:sz w:val="32"/>
          <w:szCs w:val="32"/>
        </w:rPr>
        <w:t>（一）广元市红十字会职能简介</w:t>
      </w:r>
      <w:bookmarkEnd w:id="1"/>
    </w:p>
    <w:p w14:paraId="61371503"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、传播国际红十字运动知识和国际人道法；宣传、执行《中华人民共和国红十字会法》和《四川省〈中华人民共和国红十字会法〉实施办法》等法律、法规，遵循《中国红十字会章程》，依法建会、治会、兴会。</w:t>
      </w:r>
    </w:p>
    <w:p w14:paraId="192E1040"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、开展备灾救灾工作，兴建和管理备灾救灾设施，在自然灾害和突发事件中，开展对受害者的救护和救助。</w:t>
      </w:r>
    </w:p>
    <w:p w14:paraId="173219E8"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、开展人道领域的社会公益服务活动和卫生救护、防病常识的宣传普及，组织社会捐助，进行初级卫生救护培训，组织群众参加现场救护，推动无偿献血和非血缘关系造血干细胞移植工作。</w:t>
      </w:r>
    </w:p>
    <w:p w14:paraId="781884A9"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、组织对公民特别是青少年进行人道主义和社会精神文明教育活动。</w:t>
      </w:r>
    </w:p>
    <w:p w14:paraId="5FA64E1D"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、参与艾滋病防治、吸毒危害等宣传教育工作，提高公民自我防护的意识和能力。</w:t>
      </w:r>
    </w:p>
    <w:p w14:paraId="0A0F9F28"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6、完成上级部门委托的其他事务。</w:t>
      </w:r>
    </w:p>
    <w:p w14:paraId="1459753C"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2" w:name="_Toc13833"/>
      <w:r>
        <w:rPr>
          <w:rFonts w:ascii="楷体_GB2312" w:eastAsia="楷体_GB2312" w:hAnsi="楷体_GB2312" w:cs="楷体_GB2312" w:hint="eastAsia"/>
          <w:sz w:val="32"/>
          <w:szCs w:val="32"/>
        </w:rPr>
        <w:t>（二）广元市红十字会2024年重点工作</w:t>
      </w:r>
      <w:bookmarkEnd w:id="2"/>
    </w:p>
    <w:p w14:paraId="46F33F03" w14:textId="77777777" w:rsidR="00873335" w:rsidRDefault="00000000">
      <w:pPr>
        <w:pStyle w:val="2"/>
        <w:spacing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、紧盯核心业务，推动红十字事业高质量发展。依托全市红十字文化传播师资队伍，大力组织开展红十字文化宣讲传播活</w:t>
      </w:r>
      <w:r>
        <w:rPr>
          <w:rFonts w:ascii="仿宋_GB2312" w:eastAsia="仿宋_GB2312" w:hAnsi="仿宋_GB2312" w:cs="仿宋_GB2312" w:hint="eastAsia"/>
          <w:sz w:val="32"/>
          <w:szCs w:val="32"/>
        </w:rPr>
        <w:lastRenderedPageBreak/>
        <w:t>动，弘扬正能量、引领新风尚。加强“三献”宣传动员，持续推动无偿献血和造血干细胞捐献、遗体器官捐献，常态化关怀慰问造血干细胞和遗体器官捐献者（家属）。推进基层组织建设和个人会员、团体会员发展，完成救护员培训</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千人次，普及性救护培训</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万人次。组织开展好志愿服务活动，做好红十字青少年工作。</w:t>
      </w:r>
    </w:p>
    <w:p w14:paraId="7CC5231D" w14:textId="77777777" w:rsidR="00873335" w:rsidRDefault="00000000">
      <w:pPr>
        <w:pStyle w:val="2"/>
        <w:spacing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、依法治会从严治理，提高红十字社会公信力。保持严的基调，</w:t>
      </w:r>
      <w:proofErr w:type="gramStart"/>
      <w:r>
        <w:rPr>
          <w:rFonts w:ascii="仿宋_GB2312" w:eastAsia="仿宋_GB2312" w:hAnsi="仿宋_GB2312" w:cs="仿宋_GB2312" w:hint="eastAsia"/>
          <w:sz w:val="32"/>
          <w:szCs w:val="32"/>
        </w:rPr>
        <w:t>强化正风肃</w:t>
      </w:r>
      <w:proofErr w:type="gramEnd"/>
      <w:r>
        <w:rPr>
          <w:rFonts w:ascii="仿宋_GB2312" w:eastAsia="仿宋_GB2312" w:hAnsi="仿宋_GB2312" w:cs="仿宋_GB2312" w:hint="eastAsia"/>
          <w:sz w:val="32"/>
          <w:szCs w:val="32"/>
        </w:rPr>
        <w:t>纪，维护风清气正良好生态。大力弘扬红十字精神，推动红</w:t>
      </w:r>
      <w:proofErr w:type="gramStart"/>
      <w:r>
        <w:rPr>
          <w:rFonts w:ascii="仿宋_GB2312" w:eastAsia="仿宋_GB2312" w:hAnsi="仿宋_GB2312" w:cs="仿宋_GB2312" w:hint="eastAsia"/>
          <w:sz w:val="32"/>
          <w:szCs w:val="32"/>
        </w:rPr>
        <w:t>会指数</w:t>
      </w:r>
      <w:proofErr w:type="gramEnd"/>
      <w:r>
        <w:rPr>
          <w:rFonts w:ascii="仿宋_GB2312" w:eastAsia="仿宋_GB2312" w:hAnsi="仿宋_GB2312" w:cs="仿宋_GB2312" w:hint="eastAsia"/>
          <w:sz w:val="32"/>
          <w:szCs w:val="32"/>
        </w:rPr>
        <w:t>建设，加强监事会内部监督，聘请第三方审计机构对年度捐赠款物进行审计并公开，接受社会监督。</w:t>
      </w:r>
    </w:p>
    <w:p w14:paraId="31E10540" w14:textId="77777777" w:rsidR="00873335" w:rsidRDefault="00000000">
      <w:pPr>
        <w:pStyle w:val="2"/>
        <w:spacing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3、积极做好项目资金争取工作。定期到京到省汇报工作，积极争取项目和资金支持，加强双边交流互动，积极组织编制帮扶项目并推动落地落实。持续加强项目绩效管理。</w:t>
      </w:r>
    </w:p>
    <w:p w14:paraId="20932984" w14:textId="77777777" w:rsidR="00873335" w:rsidRDefault="00000000">
      <w:pPr>
        <w:spacing w:line="576" w:lineRule="exact"/>
        <w:ind w:firstLineChars="200" w:firstLine="640"/>
        <w:outlineLvl w:val="0"/>
        <w:rPr>
          <w:rFonts w:ascii="黑体" w:eastAsia="黑体" w:hAnsi="黑体" w:cs="黑体"/>
          <w:sz w:val="32"/>
          <w:szCs w:val="32"/>
        </w:rPr>
      </w:pPr>
      <w:bookmarkStart w:id="3" w:name="_Toc11644"/>
      <w:r>
        <w:rPr>
          <w:rFonts w:ascii="黑体" w:eastAsia="黑体" w:hAnsi="黑体" w:cs="黑体" w:hint="eastAsia"/>
          <w:sz w:val="32"/>
          <w:szCs w:val="32"/>
        </w:rPr>
        <w:t>二、部门预算单位构成</w:t>
      </w:r>
      <w:bookmarkEnd w:id="3"/>
    </w:p>
    <w:p w14:paraId="48AC6872"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广元市红十字会无下属二级预算单位，属于参照公务员法管理的事业单位。</w:t>
      </w:r>
    </w:p>
    <w:p w14:paraId="192FBFCC" w14:textId="77777777" w:rsidR="00873335" w:rsidRDefault="00000000">
      <w:pPr>
        <w:spacing w:line="576" w:lineRule="exact"/>
        <w:ind w:firstLineChars="200" w:firstLine="640"/>
        <w:outlineLvl w:val="0"/>
        <w:rPr>
          <w:rFonts w:ascii="黑体" w:eastAsia="黑体" w:hAnsi="黑体" w:cs="黑体"/>
          <w:sz w:val="32"/>
          <w:szCs w:val="32"/>
        </w:rPr>
      </w:pPr>
      <w:bookmarkStart w:id="4" w:name="_Toc25294"/>
      <w:r>
        <w:rPr>
          <w:rFonts w:ascii="黑体" w:eastAsia="黑体" w:hAnsi="黑体" w:cs="黑体" w:hint="eastAsia"/>
          <w:sz w:val="32"/>
          <w:szCs w:val="32"/>
        </w:rPr>
        <w:t>三、收支预算情况说明</w:t>
      </w:r>
      <w:bookmarkEnd w:id="4"/>
    </w:p>
    <w:p w14:paraId="57DDBB8A"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综合预算的原则，广元市红十字会所有收入和支出均纳入部门预算管理。收入包括：一般公共预算拨款收入；支出包括：社会保障和就业支出、卫生健康支出、住房保障支出。广元市红十字会2024年收支预算总数</w:t>
      </w:r>
      <w:r>
        <w:rPr>
          <w:rFonts w:ascii="仿宋_GB2312" w:eastAsia="仿宋_GB2312" w:hAnsi="仿宋_GB2312" w:cs="仿宋_GB2312"/>
          <w:sz w:val="32"/>
          <w:szCs w:val="32"/>
        </w:rPr>
        <w:t>235.54</w:t>
      </w:r>
      <w:r>
        <w:rPr>
          <w:rFonts w:ascii="仿宋_GB2312" w:eastAsia="仿宋_GB2312" w:hAnsi="仿宋_GB2312" w:cs="仿宋_GB2312" w:hint="eastAsia"/>
          <w:sz w:val="32"/>
          <w:szCs w:val="32"/>
        </w:rPr>
        <w:t>万元，比2023年收支预算</w:t>
      </w:r>
      <w:r>
        <w:rPr>
          <w:rFonts w:ascii="仿宋_GB2312" w:eastAsia="仿宋_GB2312" w:hAnsi="仿宋_GB2312" w:cs="仿宋_GB2312" w:hint="eastAsia"/>
          <w:sz w:val="32"/>
          <w:szCs w:val="32"/>
        </w:rPr>
        <w:lastRenderedPageBreak/>
        <w:t>总数减少</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万元，主要原因是厉行节约，减少预算开支。</w:t>
      </w:r>
    </w:p>
    <w:p w14:paraId="70709371"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5" w:name="_Toc28169"/>
      <w:r>
        <w:rPr>
          <w:rFonts w:ascii="楷体_GB2312" w:eastAsia="楷体_GB2312" w:hAnsi="楷体_GB2312" w:cs="楷体_GB2312" w:hint="eastAsia"/>
          <w:sz w:val="32"/>
          <w:szCs w:val="32"/>
        </w:rPr>
        <w:t>（一）收入预算情况</w:t>
      </w:r>
      <w:bookmarkEnd w:id="5"/>
    </w:p>
    <w:p w14:paraId="29D54EFD" w14:textId="77777777" w:rsidR="00873335" w:rsidRDefault="00000000">
      <w:pPr>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广元市红十字会2024年收入预算2</w:t>
      </w:r>
      <w:r>
        <w:rPr>
          <w:rFonts w:ascii="仿宋_GB2312" w:eastAsia="仿宋_GB2312" w:hAnsi="仿宋_GB2312" w:cs="仿宋_GB2312"/>
          <w:sz w:val="32"/>
          <w:szCs w:val="32"/>
        </w:rPr>
        <w:t>35.54</w:t>
      </w:r>
      <w:r>
        <w:rPr>
          <w:rFonts w:ascii="仿宋_GB2312" w:eastAsia="仿宋_GB2312" w:hAnsi="仿宋_GB2312" w:cs="仿宋_GB2312" w:hint="eastAsia"/>
          <w:sz w:val="32"/>
          <w:szCs w:val="32"/>
        </w:rPr>
        <w:t>万元，其中：一般公共预算拨款收入</w:t>
      </w:r>
      <w:r>
        <w:rPr>
          <w:rFonts w:ascii="仿宋_GB2312" w:eastAsia="仿宋_GB2312" w:hAnsi="仿宋_GB2312" w:cs="仿宋_GB2312"/>
          <w:sz w:val="32"/>
          <w:szCs w:val="32"/>
        </w:rPr>
        <w:t>235.54</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14:paraId="7743F9FA"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6" w:name="_Toc4145"/>
      <w:r>
        <w:rPr>
          <w:rFonts w:ascii="楷体_GB2312" w:eastAsia="楷体_GB2312" w:hAnsi="楷体_GB2312" w:cs="楷体_GB2312" w:hint="eastAsia"/>
          <w:sz w:val="32"/>
          <w:szCs w:val="32"/>
        </w:rPr>
        <w:t>（二）支出预算情况</w:t>
      </w:r>
      <w:bookmarkEnd w:id="6"/>
    </w:p>
    <w:p w14:paraId="05D9E343" w14:textId="77777777" w:rsidR="00873335" w:rsidRDefault="00000000">
      <w:pPr>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广元市红十字会2024年支出2</w:t>
      </w:r>
      <w:r>
        <w:rPr>
          <w:rFonts w:ascii="仿宋_GB2312" w:eastAsia="仿宋_GB2312" w:hAnsi="仿宋_GB2312" w:cs="仿宋_GB2312"/>
          <w:sz w:val="32"/>
          <w:szCs w:val="32"/>
        </w:rPr>
        <w:t>35.54</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210.46</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89.35</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25.08</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10.65</w:t>
      </w:r>
      <w:r>
        <w:rPr>
          <w:rFonts w:ascii="仿宋_GB2312" w:eastAsia="仿宋_GB2312" w:hAnsi="仿宋_GB2312" w:cs="仿宋_GB2312" w:hint="eastAsia"/>
          <w:sz w:val="32"/>
          <w:szCs w:val="32"/>
        </w:rPr>
        <w:t>%。</w:t>
      </w:r>
    </w:p>
    <w:p w14:paraId="12F02323" w14:textId="77777777" w:rsidR="00873335" w:rsidRDefault="00000000">
      <w:pPr>
        <w:spacing w:line="576" w:lineRule="exact"/>
        <w:ind w:firstLineChars="200" w:firstLine="640"/>
        <w:outlineLvl w:val="0"/>
        <w:rPr>
          <w:rFonts w:ascii="黑体" w:eastAsia="黑体" w:hAnsi="黑体" w:cs="黑体"/>
          <w:sz w:val="32"/>
          <w:szCs w:val="32"/>
        </w:rPr>
      </w:pPr>
      <w:bookmarkStart w:id="7" w:name="_Toc19937"/>
      <w:r>
        <w:rPr>
          <w:rFonts w:ascii="黑体" w:eastAsia="黑体" w:hAnsi="黑体" w:cs="黑体" w:hint="eastAsia"/>
          <w:sz w:val="32"/>
          <w:szCs w:val="32"/>
        </w:rPr>
        <w:t>四、财政拨款收支预算情况说明</w:t>
      </w:r>
      <w:bookmarkEnd w:id="7"/>
    </w:p>
    <w:p w14:paraId="2180A61F"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广元市红十字会2024年财政拨款收支预算总数</w:t>
      </w:r>
      <w:r>
        <w:rPr>
          <w:rFonts w:ascii="仿宋_GB2312" w:eastAsia="仿宋_GB2312" w:hAnsi="仿宋_GB2312" w:cs="仿宋_GB2312"/>
          <w:sz w:val="32"/>
          <w:szCs w:val="32"/>
        </w:rPr>
        <w:t>235.54</w:t>
      </w:r>
      <w:r>
        <w:rPr>
          <w:rFonts w:ascii="仿宋_GB2312" w:eastAsia="仿宋_GB2312" w:hAnsi="仿宋_GB2312" w:cs="仿宋_GB2312" w:hint="eastAsia"/>
          <w:sz w:val="32"/>
          <w:szCs w:val="32"/>
        </w:rPr>
        <w:t>万元，比2023年财政拨款收支预算总数减少</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万元，主要原因是厉行节约，减少预算开支。</w:t>
      </w:r>
    </w:p>
    <w:p w14:paraId="5F71B3C6"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收入包括：本年一般公共预算拨款收入</w:t>
      </w:r>
      <w:r>
        <w:rPr>
          <w:rFonts w:ascii="仿宋_GB2312" w:eastAsia="仿宋_GB2312" w:hAnsi="仿宋_GB2312" w:cs="仿宋_GB2312"/>
          <w:sz w:val="32"/>
          <w:szCs w:val="32"/>
        </w:rPr>
        <w:t>235.54</w:t>
      </w:r>
      <w:r>
        <w:rPr>
          <w:rFonts w:ascii="仿宋_GB2312" w:eastAsia="仿宋_GB2312" w:hAnsi="仿宋_GB2312" w:cs="仿宋_GB2312" w:hint="eastAsia"/>
          <w:sz w:val="32"/>
          <w:szCs w:val="32"/>
        </w:rPr>
        <w:t>万元；支出包括：社会保障和就业支出</w:t>
      </w:r>
      <w:r>
        <w:rPr>
          <w:rFonts w:ascii="仿宋_GB2312" w:eastAsia="仿宋_GB2312" w:hAnsi="仿宋_GB2312" w:cs="仿宋_GB2312"/>
          <w:sz w:val="32"/>
          <w:szCs w:val="32"/>
        </w:rPr>
        <w:t>213.20</w:t>
      </w:r>
      <w:r>
        <w:rPr>
          <w:rFonts w:ascii="仿宋_GB2312" w:eastAsia="仿宋_GB2312" w:hAnsi="仿宋_GB2312" w:cs="仿宋_GB2312" w:hint="eastAsia"/>
          <w:sz w:val="32"/>
          <w:szCs w:val="32"/>
        </w:rPr>
        <w:t>万元、卫生健康支出</w:t>
      </w:r>
      <w:r>
        <w:rPr>
          <w:rFonts w:ascii="仿宋_GB2312" w:eastAsia="仿宋_GB2312" w:hAnsi="仿宋_GB2312" w:cs="仿宋_GB2312"/>
          <w:sz w:val="32"/>
          <w:szCs w:val="32"/>
        </w:rPr>
        <w:t>6.17</w:t>
      </w:r>
      <w:r>
        <w:rPr>
          <w:rFonts w:ascii="仿宋_GB2312" w:eastAsia="仿宋_GB2312" w:hAnsi="仿宋_GB2312" w:cs="仿宋_GB2312" w:hint="eastAsia"/>
          <w:sz w:val="32"/>
          <w:szCs w:val="32"/>
        </w:rPr>
        <w:t>万元、住房保障支出</w:t>
      </w:r>
      <w:r>
        <w:rPr>
          <w:rFonts w:ascii="仿宋_GB2312" w:eastAsia="仿宋_GB2312" w:hAnsi="仿宋_GB2312" w:cs="仿宋_GB2312"/>
          <w:sz w:val="32"/>
          <w:szCs w:val="32"/>
        </w:rPr>
        <w:t>16.17</w:t>
      </w:r>
      <w:r>
        <w:rPr>
          <w:rFonts w:ascii="仿宋_GB2312" w:eastAsia="仿宋_GB2312" w:hAnsi="仿宋_GB2312" w:cs="仿宋_GB2312" w:hint="eastAsia"/>
          <w:sz w:val="32"/>
          <w:szCs w:val="32"/>
        </w:rPr>
        <w:t>万元。</w:t>
      </w:r>
    </w:p>
    <w:p w14:paraId="280A9BD5" w14:textId="77777777" w:rsidR="00873335" w:rsidRDefault="00000000">
      <w:pPr>
        <w:spacing w:line="576" w:lineRule="exact"/>
        <w:ind w:firstLineChars="200" w:firstLine="640"/>
        <w:outlineLvl w:val="0"/>
        <w:rPr>
          <w:rFonts w:ascii="黑体" w:eastAsia="黑体" w:hAnsi="黑体" w:cs="黑体"/>
          <w:sz w:val="32"/>
          <w:szCs w:val="32"/>
        </w:rPr>
      </w:pPr>
      <w:bookmarkStart w:id="8" w:name="_Toc6472"/>
      <w:r>
        <w:rPr>
          <w:rFonts w:ascii="黑体" w:eastAsia="黑体" w:hAnsi="黑体" w:cs="黑体" w:hint="eastAsia"/>
          <w:sz w:val="32"/>
          <w:szCs w:val="32"/>
        </w:rPr>
        <w:t>五、一般公共预算当年拨款情况说明</w:t>
      </w:r>
      <w:bookmarkEnd w:id="8"/>
    </w:p>
    <w:p w14:paraId="3A08F93F"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9" w:name="_Toc5847"/>
      <w:r>
        <w:rPr>
          <w:rFonts w:ascii="楷体_GB2312" w:eastAsia="楷体_GB2312" w:hAnsi="楷体_GB2312" w:cs="楷体_GB2312" w:hint="eastAsia"/>
          <w:sz w:val="32"/>
          <w:szCs w:val="32"/>
        </w:rPr>
        <w:t>（一）一般公共预算当年拨款规模变化情况</w:t>
      </w:r>
      <w:bookmarkEnd w:id="9"/>
    </w:p>
    <w:p w14:paraId="054EA894"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广元市红十字会2024年一般公共预算当年拨款</w:t>
      </w:r>
      <w:r>
        <w:rPr>
          <w:rFonts w:ascii="仿宋_GB2312" w:eastAsia="仿宋_GB2312" w:hAnsi="仿宋_GB2312" w:cs="仿宋_GB2312"/>
          <w:sz w:val="32"/>
          <w:szCs w:val="32"/>
        </w:rPr>
        <w:t>235.54</w:t>
      </w:r>
      <w:r>
        <w:rPr>
          <w:rFonts w:ascii="仿宋_GB2312" w:eastAsia="仿宋_GB2312" w:hAnsi="仿宋_GB2312" w:cs="仿宋_GB2312" w:hint="eastAsia"/>
          <w:sz w:val="32"/>
          <w:szCs w:val="32"/>
        </w:rPr>
        <w:t>万元，比2023年预算数减少2</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万元，主要原因是厉行节约，减少预算开支。</w:t>
      </w:r>
    </w:p>
    <w:p w14:paraId="35A5DC34"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10" w:name="_Toc30546"/>
      <w:r>
        <w:rPr>
          <w:rFonts w:ascii="楷体_GB2312" w:eastAsia="楷体_GB2312" w:hAnsi="楷体_GB2312" w:cs="楷体_GB2312" w:hint="eastAsia"/>
          <w:sz w:val="32"/>
          <w:szCs w:val="32"/>
        </w:rPr>
        <w:t>（二）一般公共预算当年拨款结构情况</w:t>
      </w:r>
      <w:bookmarkEnd w:id="10"/>
    </w:p>
    <w:p w14:paraId="36FD97B3"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w:t>
      </w:r>
      <w:r>
        <w:rPr>
          <w:rFonts w:ascii="仿宋_GB2312" w:eastAsia="仿宋_GB2312" w:hAnsi="仿宋_GB2312" w:cs="仿宋_GB2312"/>
          <w:sz w:val="32"/>
          <w:szCs w:val="32"/>
        </w:rPr>
        <w:t>213.20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90.51</w:t>
      </w:r>
      <w:r>
        <w:rPr>
          <w:rFonts w:ascii="仿宋_GB2312" w:eastAsia="仿宋_GB2312" w:hAnsi="仿宋_GB2312" w:cs="仿宋_GB2312" w:hint="eastAsia"/>
          <w:sz w:val="32"/>
          <w:szCs w:val="32"/>
        </w:rPr>
        <w:t>%；卫生健康支出</w:t>
      </w:r>
      <w:r>
        <w:rPr>
          <w:rFonts w:ascii="仿宋_GB2312" w:eastAsia="仿宋_GB2312" w:hAnsi="仿宋_GB2312" w:cs="仿宋_GB2312"/>
          <w:sz w:val="32"/>
          <w:szCs w:val="32"/>
        </w:rPr>
        <w:t>6.17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2.62</w:t>
      </w:r>
      <w:r>
        <w:rPr>
          <w:rFonts w:ascii="仿宋_GB2312" w:eastAsia="仿宋_GB2312" w:hAnsi="仿宋_GB2312" w:cs="仿宋_GB2312" w:hint="eastAsia"/>
          <w:sz w:val="32"/>
          <w:szCs w:val="32"/>
        </w:rPr>
        <w:t>%；住房保障支出</w:t>
      </w:r>
      <w:r>
        <w:rPr>
          <w:rFonts w:ascii="仿宋_GB2312" w:eastAsia="仿宋_GB2312" w:hAnsi="仿宋_GB2312" w:cs="仿宋_GB2312"/>
          <w:sz w:val="32"/>
          <w:szCs w:val="32"/>
        </w:rPr>
        <w:t>16.17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6.87</w:t>
      </w:r>
      <w:r>
        <w:rPr>
          <w:rFonts w:ascii="仿宋_GB2312" w:eastAsia="仿宋_GB2312" w:hAnsi="仿宋_GB2312" w:cs="仿宋_GB2312" w:hint="eastAsia"/>
          <w:sz w:val="32"/>
          <w:szCs w:val="32"/>
        </w:rPr>
        <w:t>%。</w:t>
      </w:r>
    </w:p>
    <w:p w14:paraId="39B17B94"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11" w:name="_Toc8479"/>
      <w:r>
        <w:rPr>
          <w:rFonts w:ascii="楷体_GB2312" w:eastAsia="楷体_GB2312" w:hAnsi="楷体_GB2312" w:cs="楷体_GB2312" w:hint="eastAsia"/>
          <w:sz w:val="32"/>
          <w:szCs w:val="32"/>
        </w:rPr>
        <w:lastRenderedPageBreak/>
        <w:t>（三）一般公共预算当年拨款具体使用情况</w:t>
      </w:r>
      <w:bookmarkEnd w:id="11"/>
    </w:p>
    <w:p w14:paraId="68DEB687"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.社会保障和就业（类）行政事业单位养老支出（款）机关事业单位基本养老保险缴费支出（项）2024年预算数为</w:t>
      </w:r>
      <w:r>
        <w:rPr>
          <w:rFonts w:ascii="仿宋_GB2312" w:eastAsia="仿宋_GB2312" w:hAnsi="仿宋_GB2312" w:cs="仿宋_GB2312"/>
          <w:sz w:val="32"/>
          <w:szCs w:val="32"/>
        </w:rPr>
        <w:t>19.27</w:t>
      </w:r>
      <w:r>
        <w:rPr>
          <w:rFonts w:ascii="仿宋_GB2312" w:eastAsia="仿宋_GB2312" w:hAnsi="仿宋_GB2312" w:cs="仿宋_GB2312" w:hint="eastAsia"/>
          <w:sz w:val="32"/>
          <w:szCs w:val="32"/>
        </w:rPr>
        <w:t>万元，主要用于：实施养老保险制度由单位缴纳的基本养老保险支出。</w:t>
      </w:r>
    </w:p>
    <w:p w14:paraId="430D4A1C"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.社会保障和就业（类）红十字事业（款）行政运行（项）2024年预算数为1</w:t>
      </w:r>
      <w:r>
        <w:rPr>
          <w:rFonts w:ascii="仿宋_GB2312" w:eastAsia="仿宋_GB2312" w:hAnsi="仿宋_GB2312" w:cs="仿宋_GB2312"/>
          <w:sz w:val="32"/>
          <w:szCs w:val="32"/>
        </w:rPr>
        <w:t>68.84</w:t>
      </w:r>
      <w:r>
        <w:rPr>
          <w:rFonts w:ascii="仿宋_GB2312" w:eastAsia="仿宋_GB2312" w:hAnsi="仿宋_GB2312" w:cs="仿宋_GB2312" w:hint="eastAsia"/>
          <w:sz w:val="32"/>
          <w:szCs w:val="32"/>
        </w:rPr>
        <w:t>万元，主要用于行政单位（包括实行公务员管理的事业单位）的基本支出。</w:t>
      </w:r>
    </w:p>
    <w:p w14:paraId="6FE0F1AE"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社会保障和就业（类）红十字事业（款）其他红十字事业支出（项）2024年预算数为</w:t>
      </w:r>
      <w:r>
        <w:rPr>
          <w:rFonts w:ascii="仿宋_GB2312" w:eastAsia="仿宋_GB2312" w:hAnsi="仿宋_GB2312" w:cs="仿宋_GB2312"/>
          <w:sz w:val="32"/>
          <w:szCs w:val="32"/>
        </w:rPr>
        <w:t>25.08</w:t>
      </w:r>
      <w:r>
        <w:rPr>
          <w:rFonts w:ascii="仿宋_GB2312" w:eastAsia="仿宋_GB2312" w:hAnsi="仿宋_GB2312" w:cs="仿宋_GB2312" w:hint="eastAsia"/>
          <w:sz w:val="32"/>
          <w:szCs w:val="32"/>
        </w:rPr>
        <w:t>万元，主要用于除上述项目以外其他用于红十字事业方面的支出。</w:t>
      </w:r>
    </w:p>
    <w:p w14:paraId="23A4946D"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.卫生健康（类）行政事业单位医疗（款）行政单位医疗（项）2024年预算数为</w:t>
      </w:r>
      <w:r>
        <w:rPr>
          <w:rFonts w:ascii="仿宋_GB2312" w:eastAsia="仿宋_GB2312" w:hAnsi="仿宋_GB2312" w:cs="仿宋_GB2312"/>
          <w:sz w:val="32"/>
          <w:szCs w:val="32"/>
        </w:rPr>
        <w:t>6.17</w:t>
      </w:r>
      <w:r>
        <w:rPr>
          <w:rFonts w:ascii="仿宋_GB2312" w:eastAsia="仿宋_GB2312" w:hAnsi="仿宋_GB2312" w:cs="仿宋_GB2312" w:hint="eastAsia"/>
          <w:sz w:val="32"/>
          <w:szCs w:val="32"/>
        </w:rPr>
        <w:t>万元，主要用于：机关及</w:t>
      </w:r>
      <w:proofErr w:type="gramStart"/>
      <w:r>
        <w:rPr>
          <w:rFonts w:ascii="仿宋_GB2312" w:eastAsia="仿宋_GB2312" w:hAnsi="仿宋_GB2312" w:cs="仿宋_GB2312" w:hint="eastAsia"/>
          <w:sz w:val="32"/>
          <w:szCs w:val="32"/>
        </w:rPr>
        <w:t>参公管理</w:t>
      </w:r>
      <w:proofErr w:type="gramEnd"/>
      <w:r>
        <w:rPr>
          <w:rFonts w:ascii="仿宋_GB2312" w:eastAsia="仿宋_GB2312" w:hAnsi="仿宋_GB2312" w:cs="仿宋_GB2312" w:hint="eastAsia"/>
          <w:sz w:val="32"/>
          <w:szCs w:val="32"/>
        </w:rPr>
        <w:t>事业单位按规定由单位缴纳的基本医疗保险支出。</w:t>
      </w:r>
    </w:p>
    <w:p w14:paraId="7BDEE8F2"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.住房保障（类）住房改革支出（款）住房公积金（项）2024年预算数为</w:t>
      </w:r>
      <w:r>
        <w:rPr>
          <w:rFonts w:ascii="仿宋_GB2312" w:eastAsia="仿宋_GB2312" w:hAnsi="仿宋_GB2312" w:cs="仿宋_GB2312"/>
          <w:sz w:val="32"/>
          <w:szCs w:val="32"/>
        </w:rPr>
        <w:t>16.17</w:t>
      </w:r>
      <w:r>
        <w:rPr>
          <w:rFonts w:ascii="仿宋_GB2312" w:eastAsia="仿宋_GB2312" w:hAnsi="仿宋_GB2312" w:cs="仿宋_GB2312" w:hint="eastAsia"/>
          <w:sz w:val="32"/>
          <w:szCs w:val="32"/>
        </w:rPr>
        <w:t>万元，主要用于：部门按规定为职工缴纳的住房公积金支出。</w:t>
      </w:r>
    </w:p>
    <w:p w14:paraId="319B7377" w14:textId="77777777" w:rsidR="00873335" w:rsidRDefault="00000000">
      <w:pPr>
        <w:spacing w:line="576" w:lineRule="exact"/>
        <w:ind w:firstLineChars="200" w:firstLine="640"/>
        <w:outlineLvl w:val="0"/>
        <w:rPr>
          <w:rFonts w:ascii="黑体" w:eastAsia="黑体" w:hAnsi="黑体" w:cs="黑体"/>
          <w:sz w:val="32"/>
          <w:szCs w:val="32"/>
        </w:rPr>
      </w:pPr>
      <w:bookmarkStart w:id="12" w:name="_Toc32236"/>
      <w:r>
        <w:rPr>
          <w:rFonts w:ascii="黑体" w:eastAsia="黑体" w:hAnsi="黑体" w:cs="黑体" w:hint="eastAsia"/>
          <w:sz w:val="32"/>
          <w:szCs w:val="32"/>
        </w:rPr>
        <w:t>六、一般公共预算基本支出情况说明</w:t>
      </w:r>
      <w:bookmarkEnd w:id="12"/>
    </w:p>
    <w:p w14:paraId="33A97745"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广元市红十字会2024年一般公共预算基本支出</w:t>
      </w:r>
      <w:r>
        <w:rPr>
          <w:rFonts w:ascii="仿宋_GB2312" w:eastAsia="仿宋_GB2312" w:hAnsi="仿宋_GB2312" w:cs="仿宋_GB2312"/>
          <w:sz w:val="32"/>
          <w:szCs w:val="32"/>
        </w:rPr>
        <w:t>210.46</w:t>
      </w:r>
      <w:r>
        <w:rPr>
          <w:rFonts w:ascii="仿宋_GB2312" w:eastAsia="仿宋_GB2312" w:hAnsi="仿宋_GB2312" w:cs="仿宋_GB2312" w:hint="eastAsia"/>
          <w:sz w:val="32"/>
          <w:szCs w:val="32"/>
        </w:rPr>
        <w:t>万元，其中：</w:t>
      </w:r>
    </w:p>
    <w:p w14:paraId="07516025"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sz w:val="32"/>
          <w:szCs w:val="32"/>
        </w:rPr>
        <w:t>181.37</w:t>
      </w:r>
      <w:r>
        <w:rPr>
          <w:rFonts w:ascii="仿宋_GB2312" w:eastAsia="仿宋_GB2312" w:hAnsi="仿宋_GB2312" w:cs="仿宋_GB2312" w:hint="eastAsia"/>
          <w:sz w:val="32"/>
          <w:szCs w:val="32"/>
        </w:rPr>
        <w:t>万元，主要包括：基本工资、津贴补贴、奖金、机关事业单位基本养老保险缴费、职工基本医疗保险缴费、</w:t>
      </w:r>
      <w:r>
        <w:rPr>
          <w:rFonts w:ascii="仿宋_GB2312" w:eastAsia="仿宋_GB2312" w:hAnsi="仿宋_GB2312" w:cs="仿宋_GB2312" w:hint="eastAsia"/>
          <w:sz w:val="32"/>
          <w:szCs w:val="32"/>
        </w:rPr>
        <w:lastRenderedPageBreak/>
        <w:t>其他社会保障缴费、住房公积金、生活补助等支出。</w:t>
      </w:r>
    </w:p>
    <w:p w14:paraId="57E22942"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sz w:val="32"/>
          <w:szCs w:val="32"/>
        </w:rPr>
        <w:t>29.09</w:t>
      </w:r>
      <w:r>
        <w:rPr>
          <w:rFonts w:ascii="仿宋_GB2312" w:eastAsia="仿宋_GB2312" w:hAnsi="仿宋_GB2312" w:cs="仿宋_GB2312" w:hint="eastAsia"/>
          <w:sz w:val="32"/>
          <w:szCs w:val="32"/>
        </w:rPr>
        <w:t>万元，主要包括：办公费、水费、物业管理费、差旅费、租赁费、公务接待费、工会经费、福利费、公务用车运行维护费、其他交通费用、其他商品和服务支出等支出。</w:t>
      </w:r>
    </w:p>
    <w:p w14:paraId="1A559D33" w14:textId="77777777" w:rsidR="00873335" w:rsidRDefault="00000000">
      <w:pPr>
        <w:spacing w:line="576" w:lineRule="exact"/>
        <w:ind w:firstLineChars="200" w:firstLine="640"/>
        <w:outlineLvl w:val="0"/>
        <w:rPr>
          <w:rFonts w:ascii="黑体" w:eastAsia="黑体" w:hAnsi="黑体" w:cs="黑体"/>
          <w:sz w:val="32"/>
          <w:szCs w:val="32"/>
        </w:rPr>
      </w:pPr>
      <w:bookmarkStart w:id="13" w:name="_Toc25878"/>
      <w:r>
        <w:rPr>
          <w:rFonts w:ascii="黑体" w:eastAsia="黑体" w:hAnsi="黑体" w:cs="黑体" w:hint="eastAsia"/>
          <w:sz w:val="32"/>
          <w:szCs w:val="32"/>
        </w:rPr>
        <w:t>七、“三公”经费财政拨款预算安排情况说明</w:t>
      </w:r>
      <w:bookmarkEnd w:id="13"/>
    </w:p>
    <w:p w14:paraId="617C674C"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广元市红十字会2024年“三公”经费财政拨款预算数</w:t>
      </w:r>
      <w:r>
        <w:rPr>
          <w:rFonts w:ascii="仿宋_GB2312" w:eastAsia="仿宋_GB2312" w:hAnsi="仿宋_GB2312" w:cs="仿宋_GB2312"/>
          <w:sz w:val="32"/>
          <w:szCs w:val="32"/>
        </w:rPr>
        <w:t>2.74</w:t>
      </w:r>
      <w:r>
        <w:rPr>
          <w:rFonts w:ascii="仿宋_GB2312" w:eastAsia="仿宋_GB2312" w:hAnsi="仿宋_GB2312" w:cs="仿宋_GB2312" w:hint="eastAsia"/>
          <w:sz w:val="32"/>
          <w:szCs w:val="32"/>
        </w:rPr>
        <w:t>万元，其中：公务接待费</w:t>
      </w:r>
      <w:r>
        <w:rPr>
          <w:rFonts w:ascii="仿宋_GB2312" w:eastAsia="仿宋_GB2312" w:hAnsi="仿宋_GB2312" w:cs="仿宋_GB2312"/>
          <w:sz w:val="32"/>
          <w:szCs w:val="32"/>
        </w:rPr>
        <w:t>0.24</w:t>
      </w:r>
      <w:r>
        <w:rPr>
          <w:rFonts w:ascii="仿宋_GB2312" w:eastAsia="仿宋_GB2312" w:hAnsi="仿宋_GB2312" w:cs="仿宋_GB2312" w:hint="eastAsia"/>
          <w:sz w:val="32"/>
          <w:szCs w:val="32"/>
        </w:rPr>
        <w:t>万元，公务用车购置及运行维护费</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万元，因公出国（境）经费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14:paraId="7C93AA2B"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14" w:name="_Toc21079"/>
      <w:r>
        <w:rPr>
          <w:rFonts w:ascii="楷体_GB2312" w:eastAsia="楷体_GB2312" w:hAnsi="楷体_GB2312" w:cs="楷体_GB2312" w:hint="eastAsia"/>
          <w:sz w:val="32"/>
          <w:szCs w:val="32"/>
        </w:rPr>
        <w:t>（一）公务接待费</w:t>
      </w:r>
      <w:bookmarkEnd w:id="14"/>
    </w:p>
    <w:p w14:paraId="47F43279"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公务接待费0.24万元与2023年预算相比持平。</w:t>
      </w:r>
    </w:p>
    <w:p w14:paraId="7E4139B9"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2024年公务接待</w:t>
      </w:r>
      <w:proofErr w:type="gramStart"/>
      <w:r>
        <w:rPr>
          <w:rFonts w:ascii="仿宋_GB2312" w:eastAsia="仿宋_GB2312" w:hAnsi="仿宋_GB2312" w:cs="仿宋_GB2312" w:hint="eastAsia"/>
          <w:sz w:val="32"/>
          <w:szCs w:val="32"/>
        </w:rPr>
        <w:t>费计划</w:t>
      </w:r>
      <w:proofErr w:type="gramEnd"/>
      <w:r>
        <w:rPr>
          <w:rFonts w:ascii="仿宋_GB2312" w:eastAsia="仿宋_GB2312" w:hAnsi="仿宋_GB2312" w:cs="仿宋_GB2312" w:hint="eastAsia"/>
          <w:sz w:val="32"/>
          <w:szCs w:val="32"/>
        </w:rPr>
        <w:t>用于执行接待考察调研、检查指导等公务活动开支的交通费、住宿费、用餐费等。</w:t>
      </w:r>
    </w:p>
    <w:p w14:paraId="27507262"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15" w:name="_Toc4103"/>
      <w:r>
        <w:rPr>
          <w:rFonts w:ascii="楷体_GB2312" w:eastAsia="楷体_GB2312" w:hAnsi="楷体_GB2312" w:cs="楷体_GB2312" w:hint="eastAsia"/>
          <w:sz w:val="32"/>
          <w:szCs w:val="32"/>
        </w:rPr>
        <w:t>（二）公务用车购置及运行维护费</w:t>
      </w:r>
      <w:bookmarkEnd w:id="15"/>
    </w:p>
    <w:p w14:paraId="5440DCF6" w14:textId="77777777" w:rsidR="00873335" w:rsidRDefault="00000000">
      <w:pPr>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公务用车购置及运行维护费2.5万元与2023年预算相比持平。</w:t>
      </w:r>
    </w:p>
    <w:p w14:paraId="5769AE85"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单位现有公务用车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辆，其中：定向保障用车一辆。</w:t>
      </w:r>
    </w:p>
    <w:p w14:paraId="0C590667" w14:textId="77777777" w:rsidR="00873335" w:rsidRDefault="00000000">
      <w:pPr>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2024年未安排公务用车购置费。</w:t>
      </w:r>
      <w:r>
        <w:rPr>
          <w:rFonts w:ascii="仿宋_GB2312" w:eastAsia="仿宋_GB2312" w:hAnsi="仿宋_GB2312" w:cs="仿宋_GB2312"/>
          <w:b/>
          <w:bCs/>
          <w:sz w:val="32"/>
          <w:szCs w:val="32"/>
        </w:rPr>
        <w:t xml:space="preserve"> </w:t>
      </w:r>
    </w:p>
    <w:p w14:paraId="4E5747FA"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2024年安排公务用车运行维护费</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万元，用于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辆公务用车燃油、过路（桥）、维修、保险等方面支出，主要保障救灾救助救济等工作的顺利开展。</w:t>
      </w:r>
    </w:p>
    <w:p w14:paraId="05712242" w14:textId="77777777" w:rsidR="00873335" w:rsidRDefault="00000000">
      <w:pPr>
        <w:spacing w:line="576"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16" w:name="_Toc15764"/>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rPr>
        <w:t>三）因公出国（境）经费</w:t>
      </w:r>
      <w:bookmarkEnd w:id="16"/>
    </w:p>
    <w:p w14:paraId="603BE8AF" w14:textId="77777777" w:rsidR="00873335" w:rsidRDefault="00000000">
      <w:pPr>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因公出国（境）经费0万元与2023年预算相比持平。</w:t>
      </w:r>
    </w:p>
    <w:p w14:paraId="755A6FF1" w14:textId="77777777" w:rsidR="00873335" w:rsidRDefault="00000000">
      <w:pPr>
        <w:spacing w:line="576" w:lineRule="exact"/>
        <w:ind w:firstLineChars="200" w:firstLine="640"/>
        <w:outlineLvl w:val="0"/>
        <w:rPr>
          <w:rFonts w:ascii="黑体" w:eastAsia="黑体" w:hAnsi="黑体" w:cs="黑体"/>
          <w:sz w:val="32"/>
          <w:szCs w:val="32"/>
        </w:rPr>
      </w:pPr>
      <w:bookmarkStart w:id="17" w:name="_Toc23622"/>
      <w:r>
        <w:rPr>
          <w:rFonts w:ascii="黑体" w:eastAsia="黑体" w:hAnsi="黑体" w:cs="黑体" w:hint="eastAsia"/>
          <w:sz w:val="32"/>
          <w:szCs w:val="32"/>
        </w:rPr>
        <w:lastRenderedPageBreak/>
        <w:t>八、政府性基金预算支出情况说明</w:t>
      </w:r>
      <w:bookmarkEnd w:id="17"/>
    </w:p>
    <w:p w14:paraId="29855FBF"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广元市红十字会2024年无政府性基金预算拨款安排的支出。</w:t>
      </w:r>
    </w:p>
    <w:p w14:paraId="7CB6EB24" w14:textId="77777777" w:rsidR="00873335" w:rsidRDefault="00000000">
      <w:pPr>
        <w:spacing w:line="576" w:lineRule="exact"/>
        <w:ind w:firstLineChars="200" w:firstLine="640"/>
        <w:outlineLvl w:val="0"/>
        <w:rPr>
          <w:rFonts w:ascii="黑体" w:eastAsia="黑体" w:hAnsi="黑体" w:cs="黑体"/>
          <w:sz w:val="32"/>
          <w:szCs w:val="32"/>
        </w:rPr>
      </w:pPr>
      <w:bookmarkStart w:id="18" w:name="_Toc14485"/>
      <w:r>
        <w:rPr>
          <w:rFonts w:ascii="黑体" w:eastAsia="黑体" w:hAnsi="黑体" w:cs="黑体" w:hint="eastAsia"/>
          <w:sz w:val="32"/>
          <w:szCs w:val="32"/>
        </w:rPr>
        <w:t>九、国有资本经营预算支出情况说明</w:t>
      </w:r>
      <w:bookmarkEnd w:id="18"/>
    </w:p>
    <w:p w14:paraId="1067AC3B"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广元市红十字会2024年无国有资本经营预算拨款安排的支出。</w:t>
      </w:r>
    </w:p>
    <w:p w14:paraId="7447197D" w14:textId="77777777" w:rsidR="00873335" w:rsidRDefault="00000000">
      <w:pPr>
        <w:spacing w:line="576" w:lineRule="exact"/>
        <w:ind w:firstLineChars="200" w:firstLine="640"/>
        <w:outlineLvl w:val="0"/>
        <w:rPr>
          <w:rFonts w:ascii="黑体" w:eastAsia="黑体" w:hAnsi="黑体" w:cs="黑体"/>
          <w:sz w:val="32"/>
          <w:szCs w:val="32"/>
        </w:rPr>
      </w:pPr>
      <w:bookmarkStart w:id="19" w:name="_Toc12071"/>
      <w:r>
        <w:rPr>
          <w:rFonts w:ascii="黑体" w:eastAsia="黑体" w:hAnsi="黑体" w:cs="黑体" w:hint="eastAsia"/>
          <w:sz w:val="32"/>
          <w:szCs w:val="32"/>
        </w:rPr>
        <w:t>十、其他重要事项的情况说明</w:t>
      </w:r>
      <w:bookmarkEnd w:id="19"/>
    </w:p>
    <w:p w14:paraId="66A9CA3E"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20" w:name="_Toc19168"/>
      <w:r>
        <w:rPr>
          <w:rFonts w:ascii="楷体_GB2312" w:eastAsia="楷体_GB2312" w:hAnsi="楷体_GB2312" w:cs="楷体_GB2312" w:hint="eastAsia"/>
          <w:sz w:val="32"/>
          <w:szCs w:val="32"/>
        </w:rPr>
        <w:t>（一）机关运行经费</w:t>
      </w:r>
      <w:bookmarkEnd w:id="20"/>
    </w:p>
    <w:p w14:paraId="1AC093DA"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2024年，广元市红十字会机关运行经费财政拨款预算为</w:t>
      </w:r>
      <w:r>
        <w:rPr>
          <w:rFonts w:ascii="仿宋_GB2312" w:eastAsia="仿宋_GB2312" w:hAnsi="仿宋_GB2312" w:cs="仿宋_GB2312"/>
          <w:sz w:val="32"/>
          <w:szCs w:val="32"/>
        </w:rPr>
        <w:t>29.09</w:t>
      </w:r>
      <w:r>
        <w:rPr>
          <w:rFonts w:ascii="仿宋_GB2312" w:eastAsia="仿宋_GB2312" w:hAnsi="仿宋_GB2312" w:cs="仿宋_GB2312" w:hint="eastAsia"/>
          <w:sz w:val="32"/>
          <w:szCs w:val="32"/>
        </w:rPr>
        <w:t>万元，比2023年预算增加0</w:t>
      </w:r>
      <w:r>
        <w:rPr>
          <w:rFonts w:ascii="仿宋_GB2312" w:eastAsia="仿宋_GB2312" w:hAnsi="仿宋_GB2312" w:cs="仿宋_GB2312"/>
          <w:sz w:val="32"/>
          <w:szCs w:val="32"/>
        </w:rPr>
        <w:t>.09</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0.31</w:t>
      </w:r>
      <w:r>
        <w:rPr>
          <w:rFonts w:ascii="仿宋_GB2312" w:eastAsia="仿宋_GB2312" w:hAnsi="仿宋_GB2312" w:cs="仿宋_GB2312" w:hint="eastAsia"/>
          <w:sz w:val="32"/>
          <w:szCs w:val="32"/>
        </w:rPr>
        <w:t>%。主要原因公用经费预算增加。</w:t>
      </w:r>
    </w:p>
    <w:p w14:paraId="68F4D82D"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21" w:name="_Toc21396"/>
      <w:r>
        <w:rPr>
          <w:rFonts w:ascii="楷体_GB2312" w:eastAsia="楷体_GB2312" w:hAnsi="楷体_GB2312" w:cs="楷体_GB2312" w:hint="eastAsia"/>
          <w:sz w:val="32"/>
          <w:szCs w:val="32"/>
        </w:rPr>
        <w:t>（二）政府采购情况</w:t>
      </w:r>
      <w:bookmarkEnd w:id="21"/>
    </w:p>
    <w:p w14:paraId="14162937"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2024年，广元市红十字会安排政府采购预算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14:paraId="3137E7EA"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22" w:name="_Toc22353"/>
      <w:r>
        <w:rPr>
          <w:rFonts w:ascii="楷体_GB2312" w:eastAsia="楷体_GB2312" w:hAnsi="楷体_GB2312" w:cs="楷体_GB2312" w:hint="eastAsia"/>
          <w:sz w:val="32"/>
          <w:szCs w:val="32"/>
        </w:rPr>
        <w:t>（三）国有资产占有使用情况</w:t>
      </w:r>
      <w:bookmarkEnd w:id="22"/>
    </w:p>
    <w:p w14:paraId="48C8DA0B" w14:textId="77777777" w:rsidR="00873335" w:rsidRDefault="00000000">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截至2023年底，广元市红十字会共有车辆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辆，是上级红十字会捐赠车辆，为定向保障用车。</w:t>
      </w:r>
      <w:r>
        <w:rPr>
          <w:rFonts w:ascii="仿宋_GB2312" w:eastAsia="仿宋_GB2312" w:hAnsi="仿宋_GB2312" w:cs="仿宋_GB2312" w:hint="eastAsia"/>
          <w:sz w:val="32"/>
          <w:szCs w:val="32"/>
          <w:shd w:val="clear" w:color="auto" w:fill="FFFFFF"/>
        </w:rPr>
        <w:t>单位价值200万元以上大型设备0台（套）。</w:t>
      </w:r>
    </w:p>
    <w:p w14:paraId="5C61B043" w14:textId="77777777" w:rsidR="00873335"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2024年部门预算未安排购置车辆及单位价值200万元以上大型设备。</w:t>
      </w:r>
    </w:p>
    <w:p w14:paraId="2AB3D322" w14:textId="77777777" w:rsidR="00873335" w:rsidRDefault="00000000">
      <w:pPr>
        <w:spacing w:line="576" w:lineRule="exact"/>
        <w:ind w:firstLineChars="200" w:firstLine="640"/>
        <w:outlineLvl w:val="1"/>
        <w:rPr>
          <w:rFonts w:ascii="楷体_GB2312" w:eastAsia="楷体_GB2312" w:hAnsi="楷体_GB2312" w:cs="楷体_GB2312"/>
          <w:sz w:val="32"/>
          <w:szCs w:val="32"/>
        </w:rPr>
      </w:pPr>
      <w:bookmarkStart w:id="23" w:name="_Toc7748"/>
      <w:r>
        <w:rPr>
          <w:rFonts w:ascii="楷体_GB2312" w:eastAsia="楷体_GB2312" w:hAnsi="楷体_GB2312" w:cs="楷体_GB2312" w:hint="eastAsia"/>
          <w:sz w:val="32"/>
          <w:szCs w:val="32"/>
        </w:rPr>
        <w:t>（四）绩效目标设置情况</w:t>
      </w:r>
      <w:bookmarkEnd w:id="23"/>
    </w:p>
    <w:p w14:paraId="4FB77C31"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2024年广元市红十字会开展绩效目标管理的项目</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个，涉及预算</w:t>
      </w:r>
      <w:r>
        <w:rPr>
          <w:rFonts w:ascii="仿宋_GB2312" w:eastAsia="仿宋_GB2312" w:hAnsi="仿宋_GB2312" w:cs="仿宋_GB2312"/>
          <w:sz w:val="32"/>
          <w:szCs w:val="32"/>
        </w:rPr>
        <w:t>235.54</w:t>
      </w:r>
      <w:r>
        <w:rPr>
          <w:rFonts w:ascii="仿宋_GB2312" w:eastAsia="仿宋_GB2312" w:hAnsi="仿宋_GB2312" w:cs="仿宋_GB2312" w:hint="eastAsia"/>
          <w:sz w:val="32"/>
          <w:szCs w:val="32"/>
        </w:rPr>
        <w:t>万元。其中：人员类项目</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 xml:space="preserve">个，涉及预算 </w:t>
      </w:r>
      <w:r>
        <w:rPr>
          <w:rFonts w:ascii="仿宋_GB2312" w:eastAsia="仿宋_GB2312" w:hAnsi="仿宋_GB2312" w:cs="仿宋_GB2312"/>
          <w:sz w:val="32"/>
          <w:szCs w:val="32"/>
        </w:rPr>
        <w:t>181.37</w:t>
      </w:r>
      <w:r>
        <w:rPr>
          <w:rFonts w:ascii="仿宋_GB2312" w:eastAsia="仿宋_GB2312" w:hAnsi="仿宋_GB2312" w:cs="仿宋_GB2312" w:hint="eastAsia"/>
          <w:sz w:val="32"/>
          <w:szCs w:val="32"/>
        </w:rPr>
        <w:lastRenderedPageBreak/>
        <w:t>万元；运转类项目</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个，涉及预算</w:t>
      </w:r>
      <w:r>
        <w:rPr>
          <w:rFonts w:ascii="仿宋_GB2312" w:eastAsia="仿宋_GB2312" w:hAnsi="仿宋_GB2312" w:cs="仿宋_GB2312"/>
          <w:sz w:val="32"/>
          <w:szCs w:val="32"/>
        </w:rPr>
        <w:t>29.09</w:t>
      </w:r>
      <w:r>
        <w:rPr>
          <w:rFonts w:ascii="仿宋_GB2312" w:eastAsia="仿宋_GB2312" w:hAnsi="仿宋_GB2312" w:cs="仿宋_GB2312" w:hint="eastAsia"/>
          <w:sz w:val="32"/>
          <w:szCs w:val="32"/>
        </w:rPr>
        <w:t>万元；特定目标类项目</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个，涉及预算</w:t>
      </w:r>
      <w:r>
        <w:rPr>
          <w:rFonts w:ascii="仿宋_GB2312" w:eastAsia="仿宋_GB2312" w:hAnsi="仿宋_GB2312" w:cs="仿宋_GB2312"/>
          <w:sz w:val="32"/>
          <w:szCs w:val="32"/>
        </w:rPr>
        <w:t>25.08</w:t>
      </w:r>
      <w:r>
        <w:rPr>
          <w:rFonts w:ascii="仿宋_GB2312" w:eastAsia="仿宋_GB2312" w:hAnsi="仿宋_GB2312" w:cs="仿宋_GB2312" w:hint="eastAsia"/>
          <w:sz w:val="32"/>
          <w:szCs w:val="32"/>
        </w:rPr>
        <w:t>万元。</w:t>
      </w:r>
    </w:p>
    <w:p w14:paraId="4D245085" w14:textId="77777777" w:rsidR="00873335" w:rsidRDefault="00000000">
      <w:pPr>
        <w:spacing w:line="576" w:lineRule="exact"/>
        <w:ind w:firstLineChars="200" w:firstLine="640"/>
        <w:outlineLvl w:val="0"/>
        <w:rPr>
          <w:rFonts w:ascii="黑体" w:eastAsia="黑体" w:hAnsi="黑体" w:cs="黑体"/>
          <w:sz w:val="32"/>
          <w:szCs w:val="32"/>
        </w:rPr>
      </w:pPr>
      <w:bookmarkStart w:id="24" w:name="_Toc4059"/>
      <w:r>
        <w:rPr>
          <w:rFonts w:ascii="黑体" w:eastAsia="黑体" w:hAnsi="黑体" w:cs="黑体" w:hint="eastAsia"/>
          <w:sz w:val="32"/>
          <w:szCs w:val="32"/>
        </w:rPr>
        <w:t>十一、名词解释</w:t>
      </w:r>
      <w:bookmarkEnd w:id="24"/>
    </w:p>
    <w:p w14:paraId="0531EDAA" w14:textId="77777777" w:rsidR="00873335" w:rsidRDefault="00000000">
      <w:pPr>
        <w:numPr>
          <w:ilvl w:val="0"/>
          <w:numId w:val="1"/>
        </w:numPr>
        <w:spacing w:line="576"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财政拨款收入：</w:t>
      </w:r>
      <w:r>
        <w:rPr>
          <w:rFonts w:ascii="仿宋_GB2312" w:eastAsia="仿宋_GB2312" w:hAnsi="仿宋_GB2312" w:cs="仿宋_GB2312" w:hint="eastAsia"/>
          <w:sz w:val="32"/>
          <w:szCs w:val="32"/>
        </w:rPr>
        <w:t>指市财政当年安排的财政预算收入。按现行管理制度，部门预算中反映的财政拨款包括一般公共预算拨款和政府性基金预算拨款。</w:t>
      </w:r>
    </w:p>
    <w:p w14:paraId="67774316" w14:textId="77777777" w:rsidR="00873335" w:rsidRDefault="00000000">
      <w:pPr>
        <w:numPr>
          <w:ilvl w:val="0"/>
          <w:numId w:val="1"/>
        </w:numPr>
        <w:spacing w:line="576"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社会保障和就业（类）行政事业单位养老支出（款）机关事业单位基本养老保险缴费支出（项）：</w:t>
      </w:r>
      <w:r>
        <w:rPr>
          <w:rFonts w:ascii="仿宋_GB2312" w:eastAsia="仿宋_GB2312" w:hAnsi="仿宋_GB2312" w:cs="仿宋_GB2312" w:hint="eastAsia"/>
          <w:sz w:val="32"/>
          <w:szCs w:val="32"/>
        </w:rPr>
        <w:t>指部门实施养老保险制度由单位缴纳的养老保险的支出。</w:t>
      </w:r>
    </w:p>
    <w:p w14:paraId="655582E6" w14:textId="77777777" w:rsidR="00873335" w:rsidRDefault="00000000">
      <w:pPr>
        <w:numPr>
          <w:ilvl w:val="0"/>
          <w:numId w:val="1"/>
        </w:numPr>
        <w:spacing w:line="576"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社会保障和就业（类）红十字事业（款）行政运行（项）</w:t>
      </w:r>
      <w:r>
        <w:rPr>
          <w:rFonts w:ascii="仿宋_GB2312" w:eastAsia="仿宋_GB2312" w:hAnsi="仿宋_GB2312" w:cs="仿宋_GB2312" w:hint="eastAsia"/>
          <w:sz w:val="32"/>
          <w:szCs w:val="32"/>
        </w:rPr>
        <w:t>：指用于行政单位（包括实行公务员管理的事业单位）的基本支出。</w:t>
      </w:r>
    </w:p>
    <w:p w14:paraId="1C8B9E94" w14:textId="77777777" w:rsidR="00873335" w:rsidRDefault="00000000">
      <w:pPr>
        <w:widowControl/>
        <w:numPr>
          <w:ilvl w:val="0"/>
          <w:numId w:val="1"/>
        </w:numPr>
        <w:spacing w:before="100" w:beforeAutospacing="1" w:after="100" w:afterAutospacing="1" w:line="574"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社会保障和就业支出（类）红十字事业（款）其他红十字事业支出（项）：</w:t>
      </w:r>
      <w:r>
        <w:rPr>
          <w:rFonts w:ascii="仿宋_GB2312" w:eastAsia="仿宋_GB2312" w:hAnsi="仿宋_GB2312" w:cs="仿宋_GB2312" w:hint="eastAsia"/>
          <w:sz w:val="32"/>
          <w:szCs w:val="32"/>
        </w:rPr>
        <w:t>指反映除上述项目以外其他用于红十字事业方面的支出。</w:t>
      </w:r>
    </w:p>
    <w:p w14:paraId="334F5242" w14:textId="77777777" w:rsidR="00873335" w:rsidRDefault="00000000">
      <w:pPr>
        <w:widowControl/>
        <w:numPr>
          <w:ilvl w:val="0"/>
          <w:numId w:val="1"/>
        </w:numPr>
        <w:spacing w:before="100" w:beforeAutospacing="1" w:after="100" w:afterAutospacing="1" w:line="574"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卫生健康（类）行政事业单位医疗（款）行政单位医疗（项）：</w:t>
      </w:r>
      <w:r>
        <w:rPr>
          <w:rFonts w:ascii="仿宋_GB2312" w:eastAsia="仿宋_GB2312" w:hAnsi="仿宋_GB2312" w:cs="仿宋_GB2312" w:hint="eastAsia"/>
          <w:sz w:val="32"/>
          <w:szCs w:val="32"/>
        </w:rPr>
        <w:t>指机关及</w:t>
      </w:r>
      <w:proofErr w:type="gramStart"/>
      <w:r>
        <w:rPr>
          <w:rFonts w:ascii="仿宋_GB2312" w:eastAsia="仿宋_GB2312" w:hAnsi="仿宋_GB2312" w:cs="仿宋_GB2312" w:hint="eastAsia"/>
          <w:sz w:val="32"/>
          <w:szCs w:val="32"/>
        </w:rPr>
        <w:t>参公管理</w:t>
      </w:r>
      <w:proofErr w:type="gramEnd"/>
      <w:r>
        <w:rPr>
          <w:rFonts w:ascii="仿宋_GB2312" w:eastAsia="仿宋_GB2312" w:hAnsi="仿宋_GB2312" w:cs="仿宋_GB2312" w:hint="eastAsia"/>
          <w:sz w:val="32"/>
          <w:szCs w:val="32"/>
        </w:rPr>
        <w:t>事业单位用于单位应缴纳基本医疗保险支出。</w:t>
      </w:r>
    </w:p>
    <w:p w14:paraId="05137430" w14:textId="77777777" w:rsidR="00873335" w:rsidRDefault="00000000">
      <w:pPr>
        <w:widowControl/>
        <w:numPr>
          <w:ilvl w:val="0"/>
          <w:numId w:val="1"/>
        </w:numPr>
        <w:spacing w:before="100" w:beforeAutospacing="1" w:after="100" w:afterAutospacing="1" w:line="574"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住房保障（类）住房改革支出（款）住房公积金（项）：</w:t>
      </w:r>
      <w:r>
        <w:rPr>
          <w:rFonts w:ascii="仿宋_GB2312" w:eastAsia="仿宋_GB2312" w:hAnsi="仿宋_GB2312" w:cs="仿宋_GB2312" w:hint="eastAsia"/>
          <w:sz w:val="32"/>
          <w:szCs w:val="32"/>
        </w:rPr>
        <w:t>指按照《住房公积金管理条例》的规定，由单位及其在职职工缴存的长期住房储金。</w:t>
      </w:r>
    </w:p>
    <w:p w14:paraId="565D107B" w14:textId="77777777" w:rsidR="00873335" w:rsidRDefault="00000000">
      <w:pPr>
        <w:widowControl/>
        <w:numPr>
          <w:ilvl w:val="0"/>
          <w:numId w:val="1"/>
        </w:numPr>
        <w:spacing w:before="100" w:beforeAutospacing="1" w:after="100" w:afterAutospacing="1" w:line="574"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基本支出：</w:t>
      </w:r>
      <w:r>
        <w:rPr>
          <w:rFonts w:ascii="仿宋_GB2312" w:eastAsia="仿宋_GB2312" w:hAnsi="仿宋_GB2312" w:cs="仿宋_GB2312" w:hint="eastAsia"/>
          <w:sz w:val="32"/>
          <w:szCs w:val="32"/>
        </w:rPr>
        <w:t>指为保证机构正常运转，完成日常工作任务而发生的人员支出和公用支出。</w:t>
      </w:r>
    </w:p>
    <w:p w14:paraId="4B4E1D9E" w14:textId="77777777" w:rsidR="00873335" w:rsidRDefault="00000000">
      <w:pPr>
        <w:widowControl/>
        <w:numPr>
          <w:ilvl w:val="0"/>
          <w:numId w:val="1"/>
        </w:numPr>
        <w:spacing w:before="100" w:beforeAutospacing="1" w:after="100" w:afterAutospacing="1" w:line="574"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项目支出：</w:t>
      </w:r>
      <w:r>
        <w:rPr>
          <w:rFonts w:ascii="仿宋_GB2312" w:eastAsia="仿宋_GB2312" w:hAnsi="仿宋_GB2312" w:cs="仿宋_GB2312" w:hint="eastAsia"/>
          <w:sz w:val="32"/>
          <w:szCs w:val="32"/>
        </w:rPr>
        <w:t>指在基本支出之外为完成特定行政任务和事业发展目标所发生的支出。</w:t>
      </w:r>
    </w:p>
    <w:p w14:paraId="0ED31590" w14:textId="77777777" w:rsidR="00873335" w:rsidRDefault="00000000">
      <w:pPr>
        <w:widowControl/>
        <w:numPr>
          <w:ilvl w:val="0"/>
          <w:numId w:val="1"/>
        </w:numPr>
        <w:spacing w:before="100" w:beforeAutospacing="1" w:after="100" w:afterAutospacing="1" w:line="574"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“三公”经费：</w:t>
      </w:r>
      <w:r>
        <w:rPr>
          <w:rFonts w:ascii="仿宋_GB2312" w:eastAsia="仿宋_GB2312" w:hAnsi="仿宋_GB2312" w:cs="仿宋_GB2312" w:hint="eastAsia"/>
          <w:sz w:val="32"/>
          <w:szCs w:val="32"/>
        </w:rPr>
        <w:t>纳入市级财政预算管理的“三公”经费，是指部门用财政拨款安排的因公出国（境）费、公务用车购置及运行费和公务接待费。其中，因公出国（境）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14:paraId="52EEDCA6" w14:textId="77777777" w:rsidR="00873335" w:rsidRDefault="00000000">
      <w:pPr>
        <w:widowControl/>
        <w:numPr>
          <w:ilvl w:val="0"/>
          <w:numId w:val="1"/>
        </w:numPr>
        <w:spacing w:before="100" w:beforeAutospacing="1" w:after="100" w:afterAutospacing="1" w:line="574"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机关运行经费：</w:t>
      </w:r>
      <w:r>
        <w:rPr>
          <w:rFonts w:ascii="仿宋_GB2312" w:eastAsia="仿宋_GB2312" w:hAnsi="仿宋_GB2312" w:cs="仿宋_GB2312" w:hint="eastAsia"/>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14:paraId="3093B402" w14:textId="77777777" w:rsidR="00873335" w:rsidRDefault="00873335">
      <w:pPr>
        <w:spacing w:line="576" w:lineRule="exact"/>
        <w:ind w:firstLineChars="200" w:firstLine="640"/>
        <w:rPr>
          <w:rFonts w:ascii="仿宋_GB2312" w:eastAsia="仿宋_GB2312" w:hAnsi="仿宋_GB2312" w:cs="仿宋_GB2312"/>
          <w:sz w:val="32"/>
          <w:szCs w:val="32"/>
        </w:rPr>
      </w:pPr>
    </w:p>
    <w:p w14:paraId="2D6D7330" w14:textId="77777777" w:rsidR="00873335"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附件：部门预算公开表</w:t>
      </w:r>
    </w:p>
    <w:p w14:paraId="5AE8D6B2" w14:textId="77777777" w:rsidR="00873335" w:rsidRDefault="00873335">
      <w:pPr>
        <w:spacing w:line="576" w:lineRule="exact"/>
        <w:rPr>
          <w:rFonts w:ascii="仿宋_GB2312" w:eastAsia="仿宋_GB2312" w:hAnsi="仿宋_GB2312" w:cs="仿宋_GB2312"/>
          <w:sz w:val="32"/>
          <w:szCs w:val="32"/>
        </w:rPr>
      </w:pPr>
    </w:p>
    <w:sectPr w:rsidR="00873335">
      <w:pgSz w:w="11906" w:h="16838"/>
      <w:pgMar w:top="2098" w:right="1474" w:bottom="1984" w:left="1587" w:header="720" w:footer="1559"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C68F" w14:textId="77777777" w:rsidR="00E42B8F" w:rsidRDefault="00E42B8F">
      <w:r>
        <w:separator/>
      </w:r>
    </w:p>
  </w:endnote>
  <w:endnote w:type="continuationSeparator" w:id="0">
    <w:p w14:paraId="716CADFB" w14:textId="77777777" w:rsidR="00E42B8F" w:rsidRDefault="00E4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sig w:usb0="A00002AF" w:usb1="500078FB" w:usb2="00000000" w:usb3="00000000" w:csb0="6000009F" w:csb1="DFD70000"/>
  </w:font>
  <w:font w:name="Noto Sans CJK SC Regular">
    <w:altName w:val="微软雅黑"/>
    <w:charset w:val="86"/>
    <w:family w:val="auto"/>
    <w:pitch w:val="default"/>
    <w:sig w:usb0="30000003" w:usb1="2BDF3C10" w:usb2="00000016" w:usb3="00000000" w:csb0="602E0107"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7B43CE44-7CC4-456E-B0C1-038584654F12}"/>
    <w:embedBold r:id="rId2" w:subsetted="1" w:fontKey="{5560769B-C282-460F-8722-D496A82FE8C4}"/>
  </w:font>
  <w:font w:name="楷体_GB2312">
    <w:panose1 w:val="02010609030101010101"/>
    <w:charset w:val="86"/>
    <w:family w:val="modern"/>
    <w:pitch w:val="fixed"/>
    <w:sig w:usb0="00000001" w:usb1="080E0000" w:usb2="00000010" w:usb3="00000000" w:csb0="00040000" w:csb1="00000000"/>
    <w:embedRegular r:id="rId3" w:subsetted="1" w:fontKey="{CF3F955A-84E2-44FB-93DD-D2783678D609}"/>
  </w:font>
  <w:font w:name="仿宋_GB2312">
    <w:panose1 w:val="02010609030101010101"/>
    <w:charset w:val="86"/>
    <w:family w:val="modern"/>
    <w:pitch w:val="fixed"/>
    <w:sig w:usb0="00000001" w:usb1="080E0000" w:usb2="00000010" w:usb3="00000000" w:csb0="00040000" w:csb1="00000000"/>
    <w:embedRegular r:id="rId4" w:subsetted="1" w:fontKey="{CF1AF7CA-FB8F-42F3-9ADB-92FC5B342A62}"/>
    <w:embedBold r:id="rId5" w:subsetted="1" w:fontKey="{B4AEC2CD-5E90-4C29-AE76-743FA3D605E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3210" w14:textId="77777777" w:rsidR="00873335" w:rsidRDefault="00000000">
    <w:pPr>
      <w:pStyle w:val="a7"/>
    </w:pPr>
    <w:r>
      <w:rPr>
        <w:noProof/>
      </w:rPr>
      <mc:AlternateContent>
        <mc:Choice Requires="wps">
          <w:drawing>
            <wp:anchor distT="0" distB="0" distL="114300" distR="114300" simplePos="0" relativeHeight="251659264" behindDoc="0" locked="0" layoutInCell="1" allowOverlap="1" wp14:anchorId="7ED018D4" wp14:editId="105584A4">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BCE325D" w14:textId="77777777" w:rsidR="00873335" w:rsidRDefault="00000000">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vert="horz" wrap="none" lIns="0" tIns="0" rIns="0" bIns="0" anchor="t" anchorCtr="0">
                      <a:spAutoFit/>
                    </wps:bodyPr>
                  </wps:wsp>
                </a:graphicData>
              </a:graphic>
            </wp:anchor>
          </w:drawing>
        </mc:Choice>
        <mc:Fallback>
          <w:pict>
            <v:shapetype w14:anchorId="7ED018D4"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3BCE325D" w14:textId="77777777" w:rsidR="00873335" w:rsidRDefault="00000000">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0C52" w14:textId="77777777" w:rsidR="00E42B8F" w:rsidRDefault="00E42B8F">
      <w:r>
        <w:separator/>
      </w:r>
    </w:p>
  </w:footnote>
  <w:footnote w:type="continuationSeparator" w:id="0">
    <w:p w14:paraId="7FD0D0B4" w14:textId="77777777" w:rsidR="00E42B8F" w:rsidRDefault="00E4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E6C8C"/>
    <w:multiLevelType w:val="singleLevel"/>
    <w:tmpl w:val="F34E6C8C"/>
    <w:lvl w:ilvl="0">
      <w:start w:val="1"/>
      <w:numFmt w:val="chineseCounting"/>
      <w:suff w:val="nothing"/>
      <w:lvlText w:val="（%1）"/>
      <w:lvlJc w:val="left"/>
      <w:pPr>
        <w:ind w:left="0" w:firstLine="420"/>
      </w:pPr>
      <w:rPr>
        <w:rFonts w:hint="eastAsia"/>
        <w:b/>
        <w:bCs/>
      </w:rPr>
    </w:lvl>
  </w:abstractNum>
  <w:num w:numId="1" w16cid:durableId="25586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oNotUseMarginsForDrawingGridOrigin/>
  <w:drawingGridHorizontalOrigin w:val="0"/>
  <w:drawingGridVerticalOrigin w:val="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23503C"/>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 w:val="0000215A"/>
    <w:rsid w:val="000140A1"/>
    <w:rsid w:val="00025F06"/>
    <w:rsid w:val="00030402"/>
    <w:rsid w:val="00036A7D"/>
    <w:rsid w:val="0003749E"/>
    <w:rsid w:val="000567AE"/>
    <w:rsid w:val="000D0E7F"/>
    <w:rsid w:val="000D478D"/>
    <w:rsid w:val="000F0531"/>
    <w:rsid w:val="000F6CDE"/>
    <w:rsid w:val="00176888"/>
    <w:rsid w:val="001F04BB"/>
    <w:rsid w:val="00202346"/>
    <w:rsid w:val="002052BA"/>
    <w:rsid w:val="00230E3C"/>
    <w:rsid w:val="0023503C"/>
    <w:rsid w:val="00237473"/>
    <w:rsid w:val="002A12C2"/>
    <w:rsid w:val="002A4960"/>
    <w:rsid w:val="002F139D"/>
    <w:rsid w:val="00312DC0"/>
    <w:rsid w:val="00377D74"/>
    <w:rsid w:val="00396D93"/>
    <w:rsid w:val="00404382"/>
    <w:rsid w:val="00420379"/>
    <w:rsid w:val="00450FCE"/>
    <w:rsid w:val="00462336"/>
    <w:rsid w:val="004725A3"/>
    <w:rsid w:val="004937C7"/>
    <w:rsid w:val="0049531D"/>
    <w:rsid w:val="004D3373"/>
    <w:rsid w:val="004E0221"/>
    <w:rsid w:val="00521D07"/>
    <w:rsid w:val="005B74E3"/>
    <w:rsid w:val="005D610D"/>
    <w:rsid w:val="00647182"/>
    <w:rsid w:val="006527CB"/>
    <w:rsid w:val="00684DBA"/>
    <w:rsid w:val="006C0592"/>
    <w:rsid w:val="006F5550"/>
    <w:rsid w:val="00705350"/>
    <w:rsid w:val="00720C75"/>
    <w:rsid w:val="0075254D"/>
    <w:rsid w:val="0076379A"/>
    <w:rsid w:val="007760A8"/>
    <w:rsid w:val="00776470"/>
    <w:rsid w:val="007B3E9E"/>
    <w:rsid w:val="007E62CC"/>
    <w:rsid w:val="00873335"/>
    <w:rsid w:val="008B6487"/>
    <w:rsid w:val="008C15B2"/>
    <w:rsid w:val="008F55C8"/>
    <w:rsid w:val="008F579F"/>
    <w:rsid w:val="009900C1"/>
    <w:rsid w:val="009A77B6"/>
    <w:rsid w:val="009B68E4"/>
    <w:rsid w:val="009C68D0"/>
    <w:rsid w:val="00A06271"/>
    <w:rsid w:val="00A94907"/>
    <w:rsid w:val="00AC6EBC"/>
    <w:rsid w:val="00AD086C"/>
    <w:rsid w:val="00AD1B6F"/>
    <w:rsid w:val="00B01727"/>
    <w:rsid w:val="00B27E44"/>
    <w:rsid w:val="00BA6343"/>
    <w:rsid w:val="00BD3F04"/>
    <w:rsid w:val="00C06A4D"/>
    <w:rsid w:val="00C37782"/>
    <w:rsid w:val="00C47DB4"/>
    <w:rsid w:val="00CD75D2"/>
    <w:rsid w:val="00D35A6A"/>
    <w:rsid w:val="00D546F8"/>
    <w:rsid w:val="00D5663D"/>
    <w:rsid w:val="00D64D87"/>
    <w:rsid w:val="00DC09E9"/>
    <w:rsid w:val="00DC36B8"/>
    <w:rsid w:val="00DD19D7"/>
    <w:rsid w:val="00E13F19"/>
    <w:rsid w:val="00E31DA9"/>
    <w:rsid w:val="00E365A3"/>
    <w:rsid w:val="00E42B8F"/>
    <w:rsid w:val="00E5178B"/>
    <w:rsid w:val="00E52EC9"/>
    <w:rsid w:val="00E5417D"/>
    <w:rsid w:val="00E71310"/>
    <w:rsid w:val="00EE2172"/>
    <w:rsid w:val="00EE5C50"/>
    <w:rsid w:val="00EF243C"/>
    <w:rsid w:val="00F4775D"/>
    <w:rsid w:val="00F66068"/>
    <w:rsid w:val="00F7453D"/>
    <w:rsid w:val="00F86CEB"/>
    <w:rsid w:val="00FA2CC8"/>
    <w:rsid w:val="00FC5DD0"/>
    <w:rsid w:val="00FD2A73"/>
    <w:rsid w:val="00FF01FA"/>
    <w:rsid w:val="012352D1"/>
    <w:rsid w:val="1C6074FD"/>
    <w:rsid w:val="1F7BF06F"/>
    <w:rsid w:val="1FEE4B73"/>
    <w:rsid w:val="23CE9849"/>
    <w:rsid w:val="36CE5337"/>
    <w:rsid w:val="39F304DD"/>
    <w:rsid w:val="50DE3B82"/>
    <w:rsid w:val="54244390"/>
    <w:rsid w:val="54662A63"/>
    <w:rsid w:val="58064E12"/>
    <w:rsid w:val="5902026F"/>
    <w:rsid w:val="5BFEE015"/>
    <w:rsid w:val="63EDCF55"/>
    <w:rsid w:val="63FBFBCF"/>
    <w:rsid w:val="669360FD"/>
    <w:rsid w:val="68FF6A83"/>
    <w:rsid w:val="6B5F0C95"/>
    <w:rsid w:val="6FBBC9CF"/>
    <w:rsid w:val="701317AE"/>
    <w:rsid w:val="72BDE561"/>
    <w:rsid w:val="78462278"/>
    <w:rsid w:val="7997EA6C"/>
    <w:rsid w:val="7AEAE675"/>
    <w:rsid w:val="7BAFCE5D"/>
    <w:rsid w:val="7D46598C"/>
    <w:rsid w:val="7DFB240B"/>
    <w:rsid w:val="7E0935ED"/>
    <w:rsid w:val="7FCF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567032"/>
  <w15:docId w15:val="{221D3356-A67C-4866-BF0F-7DAD06A9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i/>
      <w:iCs/>
      <w:sz w:val="24"/>
    </w:rPr>
  </w:style>
  <w:style w:type="paragraph" w:styleId="a4">
    <w:name w:val="Body Text"/>
    <w:basedOn w:val="a"/>
    <w:qFormat/>
    <w:pPr>
      <w:spacing w:after="140" w:line="276" w:lineRule="auto"/>
    </w:pPr>
  </w:style>
  <w:style w:type="paragraph" w:styleId="a5">
    <w:name w:val="Body Text Indent"/>
    <w:basedOn w:val="a"/>
    <w:link w:val="a6"/>
    <w:qFormat/>
    <w:pPr>
      <w:spacing w:after="120"/>
      <w:ind w:leftChars="200" w:left="420"/>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List"/>
    <w:basedOn w:val="a4"/>
    <w:qFormat/>
  </w:style>
  <w:style w:type="paragraph" w:styleId="aa">
    <w:name w:val="Normal (Web)"/>
    <w:basedOn w:val="a"/>
    <w:qFormat/>
    <w:rPr>
      <w:sz w:val="24"/>
    </w:rPr>
  </w:style>
  <w:style w:type="paragraph" w:styleId="2">
    <w:name w:val="Body Text First Indent 2"/>
    <w:basedOn w:val="a5"/>
    <w:link w:val="20"/>
    <w:qFormat/>
    <w:pPr>
      <w:ind w:firstLineChars="200" w:firstLine="420"/>
    </w:pPr>
  </w:style>
  <w:style w:type="character" w:customStyle="1" w:styleId="1">
    <w:name w:val="默认段落字体1"/>
    <w:qFormat/>
  </w:style>
  <w:style w:type="paragraph" w:customStyle="1" w:styleId="Heading">
    <w:name w:val="Heading"/>
    <w:basedOn w:val="a"/>
    <w:next w:val="a4"/>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 w:type="character" w:customStyle="1" w:styleId="a6">
    <w:name w:val="正文文本缩进 字符"/>
    <w:basedOn w:val="a0"/>
    <w:link w:val="a5"/>
    <w:qFormat/>
    <w:rPr>
      <w:rFonts w:ascii="Calibri" w:hAnsi="Calibri"/>
      <w:kern w:val="2"/>
      <w:sz w:val="21"/>
      <w:szCs w:val="24"/>
    </w:rPr>
  </w:style>
  <w:style w:type="character" w:customStyle="1" w:styleId="20">
    <w:name w:val="正文文本首行缩进 2 字符"/>
    <w:basedOn w:val="a6"/>
    <w:link w:val="2"/>
    <w:qFormat/>
    <w:rPr>
      <w:rFonts w:ascii="Calibri" w:hAnsi="Calibri"/>
      <w:kern w:val="2"/>
      <w:sz w:val="21"/>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财务室:张金玉</cp:lastModifiedBy>
  <cp:revision>125</cp:revision>
  <dcterms:created xsi:type="dcterms:W3CDTF">2018-11-29T17:47:00Z</dcterms:created>
  <dcterms:modified xsi:type="dcterms:W3CDTF">2024-02-07T01:40:00Z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96081F72B7444D3C8C1C7DDAED24732C_13</vt:lpwstr>
  </property>
</Properties>
</file>